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Arial" w:hAnsi="Arial"/>
          <w:b/>
          <w:color w:val="1F4E79"/>
          <w:sz w:val="40"/>
        </w:rPr>
        <w:t>Patient Transcript Analysis Report</w:t>
      </w:r>
    </w:p>
    <w:p>
      <w:pPr>
        <w:spacing w:after="40"/>
        <w:jc w:val="center"/>
      </w:pPr>
      <w:r>
        <w:rPr>
          <w:rFonts w:ascii="Arial" w:hAnsi="Arial"/>
          <w:color w:val="555555"/>
          <w:sz w:val="24"/>
        </w:rPr>
        <w:t>Barriers &amp; Facilitators — Deductive Coding Study</w:t>
      </w:r>
    </w:p>
    <w:p>
      <w:pPr>
        <w:spacing w:after="280"/>
        <w:jc w:val="center"/>
      </w:pPr>
      <w:r>
        <w:rPr>
          <w:rFonts w:ascii="Arial" w:hAnsi="Arial"/>
          <w:i/>
          <w:color w:val="888888"/>
          <w:sz w:val="18"/>
        </w:rPr>
        <w:t>AI-Assisted Analysis Pipeline  |  Generated via Ollama (llama3.3:latest)</w:t>
      </w:r>
    </w:p>
    <w:tbl>
      <w:tblPr>
        <w:tblStyle w:val="TableGrid"/>
        <w:tblW w:type="auto" w:w="0"/>
        <w:tblLayout w:type="fixed"/>
        <w:tblLook w:firstColumn="1" w:firstRow="1" w:lastColumn="0" w:lastRow="0" w:noHBand="0" w:noVBand="1" w:val="04A0"/>
      </w:tblPr>
      <w:tblGrid>
        <w:gridCol w:w="1680"/>
        <w:gridCol w:w="1680"/>
        <w:gridCol w:w="1680"/>
        <w:gridCol w:w="1680"/>
        <w:gridCol w:w="1680"/>
        <w:gridCol w:w="1680"/>
      </w:tblGrid>
      <w:tr>
        <w:tc>
          <w:tcPr>
            <w:tcW w:type="dxa" w:w="1680"/>
            <w:shd w:val="clear" w:color="auto" w:fill="1F4E79"/>
            <w:tcBorders>
              <w:top w:val="single" w:sz="4" w:color="CCCCCC"/>
              <w:left w:val="single" w:sz="4" w:color="CCCCCC"/>
              <w:bottom w:val="single" w:sz="4" w:color="CCCCCC"/>
              <w:right w:val="single" w:sz="4" w:color="CCCCCC"/>
            </w:tcBorders>
            <w:vAlign w:val="center"/>
          </w:tcPr>
          <w:p>
            <w:pPr>
              <w:jc w:val="center"/>
            </w:pPr>
            <w:r>
              <w:rPr>
                <w:rFonts w:ascii="Arial" w:hAnsi="Arial"/>
                <w:b/>
                <w:color w:val="FFFFFF"/>
                <w:sz w:val="28"/>
              </w:rPr>
              <w:t>30</w:t>
            </w:r>
          </w:p>
          <w:p>
            <w:pPr>
              <w:jc w:val="center"/>
            </w:pPr>
            <w:r>
              <w:rPr>
                <w:rFonts w:ascii="Arial" w:hAnsi="Arial"/>
                <w:color w:val="BBCCDD"/>
                <w:sz w:val="16"/>
              </w:rPr>
              <w:t>Patients</w:t>
            </w:r>
          </w:p>
        </w:tc>
        <w:tc>
          <w:tcPr>
            <w:tcW w:type="dxa" w:w="1680"/>
            <w:shd w:val="clear" w:color="auto" w:fill="1F4E79"/>
            <w:tcBorders>
              <w:top w:val="single" w:sz="4" w:color="CCCCCC"/>
              <w:left w:val="single" w:sz="4" w:color="CCCCCC"/>
              <w:bottom w:val="single" w:sz="4" w:color="CCCCCC"/>
              <w:right w:val="single" w:sz="4" w:color="CCCCCC"/>
            </w:tcBorders>
            <w:vAlign w:val="center"/>
          </w:tcPr>
          <w:p>
            <w:pPr>
              <w:jc w:val="center"/>
            </w:pPr>
            <w:r>
              <w:rPr>
                <w:rFonts w:ascii="Arial" w:hAnsi="Arial"/>
                <w:b/>
                <w:color w:val="FFFFFF"/>
                <w:sz w:val="28"/>
              </w:rPr>
              <w:t>38</w:t>
            </w:r>
          </w:p>
          <w:p>
            <w:pPr>
              <w:jc w:val="center"/>
            </w:pPr>
            <w:r>
              <w:rPr>
                <w:rFonts w:ascii="Arial" w:hAnsi="Arial"/>
                <w:color w:val="BBCCDD"/>
                <w:sz w:val="16"/>
              </w:rPr>
              <w:t>Source Files</w:t>
            </w:r>
          </w:p>
        </w:tc>
        <w:tc>
          <w:tcPr>
            <w:tcW w:type="dxa" w:w="1680"/>
            <w:shd w:val="clear" w:color="auto" w:fill="1F4E79"/>
            <w:tcBorders>
              <w:top w:val="single" w:sz="4" w:color="CCCCCC"/>
              <w:left w:val="single" w:sz="4" w:color="CCCCCC"/>
              <w:bottom w:val="single" w:sz="4" w:color="CCCCCC"/>
              <w:right w:val="single" w:sz="4" w:color="CCCCCC"/>
            </w:tcBorders>
            <w:vAlign w:val="center"/>
          </w:tcPr>
          <w:p>
            <w:pPr>
              <w:jc w:val="center"/>
            </w:pPr>
            <w:r>
              <w:rPr>
                <w:rFonts w:ascii="Arial" w:hAnsi="Arial"/>
                <w:b/>
                <w:color w:val="FFFFFF"/>
                <w:sz w:val="28"/>
              </w:rPr>
              <w:t>4</w:t>
            </w:r>
          </w:p>
          <w:p>
            <w:pPr>
              <w:jc w:val="center"/>
            </w:pPr>
            <w:r>
              <w:rPr>
                <w:rFonts w:ascii="Arial" w:hAnsi="Arial"/>
                <w:color w:val="BBCCDD"/>
                <w:sz w:val="16"/>
              </w:rPr>
              <w:t>Groups</w:t>
            </w:r>
          </w:p>
        </w:tc>
        <w:tc>
          <w:tcPr>
            <w:tcW w:type="dxa" w:w="1680"/>
            <w:shd w:val="clear" w:color="auto" w:fill="1F4E79"/>
            <w:tcBorders>
              <w:top w:val="single" w:sz="4" w:color="CCCCCC"/>
              <w:left w:val="single" w:sz="4" w:color="CCCCCC"/>
              <w:bottom w:val="single" w:sz="4" w:color="CCCCCC"/>
              <w:right w:val="single" w:sz="4" w:color="CCCCCC"/>
            </w:tcBorders>
            <w:vAlign w:val="center"/>
          </w:tcPr>
          <w:p>
            <w:pPr>
              <w:jc w:val="center"/>
            </w:pPr>
            <w:r>
              <w:rPr>
                <w:rFonts w:ascii="Arial" w:hAnsi="Arial"/>
                <w:b/>
                <w:color w:val="FFFFFF"/>
                <w:sz w:val="28"/>
              </w:rPr>
              <w:t>21</w:t>
            </w:r>
          </w:p>
          <w:p>
            <w:pPr>
              <w:jc w:val="center"/>
            </w:pPr>
            <w:r>
              <w:rPr>
                <w:rFonts w:ascii="Arial" w:hAnsi="Arial"/>
                <w:color w:val="BBCCDD"/>
                <w:sz w:val="16"/>
              </w:rPr>
              <w:t>Themes</w:t>
            </w:r>
          </w:p>
        </w:tc>
        <w:tc>
          <w:tcPr>
            <w:tcW w:type="dxa" w:w="1680"/>
            <w:shd w:val="clear" w:color="auto" w:fill="1F4E79"/>
            <w:tcBorders>
              <w:top w:val="single" w:sz="4" w:color="CCCCCC"/>
              <w:left w:val="single" w:sz="4" w:color="CCCCCC"/>
              <w:bottom w:val="single" w:sz="4" w:color="CCCCCC"/>
              <w:right w:val="single" w:sz="4" w:color="CCCCCC"/>
            </w:tcBorders>
            <w:vAlign w:val="center"/>
          </w:tcPr>
          <w:p>
            <w:pPr>
              <w:jc w:val="center"/>
            </w:pPr>
            <w:r>
              <w:rPr>
                <w:rFonts w:ascii="Arial" w:hAnsi="Arial"/>
                <w:b/>
                <w:color w:val="FFFFFF"/>
                <w:sz w:val="28"/>
              </w:rPr>
              <w:t>890</w:t>
            </w:r>
          </w:p>
          <w:p>
            <w:pPr>
              <w:jc w:val="center"/>
            </w:pPr>
            <w:r>
              <w:rPr>
                <w:rFonts w:ascii="Arial" w:hAnsi="Arial"/>
                <w:color w:val="BBCCDD"/>
                <w:sz w:val="16"/>
              </w:rPr>
              <w:t>Unique Codes</w:t>
            </w:r>
          </w:p>
        </w:tc>
        <w:tc>
          <w:tcPr>
            <w:tcW w:type="dxa" w:w="1680"/>
            <w:shd w:val="clear" w:color="auto" w:fill="1F4E79"/>
            <w:tcBorders>
              <w:top w:val="single" w:sz="4" w:color="CCCCCC"/>
              <w:left w:val="single" w:sz="4" w:color="CCCCCC"/>
              <w:bottom w:val="single" w:sz="4" w:color="CCCCCC"/>
              <w:right w:val="single" w:sz="4" w:color="CCCCCC"/>
            </w:tcBorders>
            <w:vAlign w:val="center"/>
          </w:tcPr>
          <w:p>
            <w:pPr>
              <w:jc w:val="center"/>
            </w:pPr>
            <w:r>
              <w:rPr>
                <w:rFonts w:ascii="Arial" w:hAnsi="Arial"/>
                <w:b/>
                <w:color w:val="FFFFFF"/>
                <w:sz w:val="28"/>
              </w:rPr>
              <w:t>3,562</w:t>
            </w:r>
          </w:p>
          <w:p>
            <w:pPr>
              <w:jc w:val="center"/>
            </w:pPr>
            <w:r>
              <w:rPr>
                <w:rFonts w:ascii="Arial" w:hAnsi="Arial"/>
                <w:color w:val="BBCCDD"/>
                <w:sz w:val="16"/>
              </w:rPr>
              <w:t>Total Records</w:t>
            </w:r>
          </w:p>
        </w:tc>
      </w:tr>
    </w:tbl>
    <w:p/>
    <w:p>
      <w:pPr>
        <w:spacing w:before="280" w:after="120"/>
        <w:pBdr>
          <w:bottom w:val="single" w:sz="4" w:color="D0D8E4"/>
        </w:pBdr>
      </w:pPr>
      <w:r>
        <w:rPr>
          <w:rFonts w:ascii="Arial" w:hAnsi="Arial"/>
          <w:b/>
          <w:color w:val="1F4E79"/>
          <w:sz w:val="28"/>
        </w:rPr>
        <w:t>OVERVIEW</w:t>
      </w:r>
    </w:p>
    <w:p>
      <w:pPr>
        <w:spacing w:after="120"/>
      </w:pPr>
      <w:r>
        <w:rPr>
          <w:rFonts w:ascii="Arial" w:hAnsi="Arial"/>
          <w:sz w:val="22"/>
        </w:rPr>
        <w:t>This research report presents the findings of a qualitative analysis of patient transcripts about healthcare barriers and facilitators. The study involved analyzing transcripts from 30 patients, which resulted in a total of 3562 records being extracted. These records were categorized into different themes and groups to identify common patterns and issues that patients face when accessing healthcare services. The analysis also identified 890 unique codes, which are clinical outcome entities assigned to pieces of evidence, and these codes were grouped into 21 broader thematic categories.</w:t>
      </w:r>
    </w:p>
    <w:p>
      <w:pPr>
        <w:spacing w:before="280" w:after="120"/>
        <w:pBdr>
          <w:bottom w:val="single" w:sz="4" w:color="D0D8E4"/>
        </w:pBdr>
      </w:pPr>
      <w:r>
        <w:rPr>
          <w:rFonts w:ascii="Arial" w:hAnsi="Arial"/>
          <w:b/>
          <w:color w:val="1F4E79"/>
          <w:sz w:val="28"/>
        </w:rPr>
        <w:t>DATA STRUCTURE</w:t>
      </w:r>
    </w:p>
    <w:p>
      <w:pPr>
        <w:spacing w:after="120"/>
      </w:pPr>
      <w:r>
        <w:rPr>
          <w:rFonts w:ascii="Arial" w:hAnsi="Arial"/>
          <w:sz w:val="22"/>
        </w:rPr>
        <w:t>The data for this study was collected from 38 transcript files, each containing a unique identifier for the patient and the source file. The transcripts were broken down into sequential chunks, and each chunk was analyzed to identify relevant quotes and codes. A total of 1952 quotes were found in the transcripts, while 1610 quotes were not found verbatim in the source text. The data structure also included additional contextual notes and justifications for the assigned codes, which helped to ensure the accuracy and reliability of the findings. The use of a systematic approach to coding and theme development enabled the researchers to identify key patterns and trends in the data.</w:t>
      </w:r>
    </w:p>
    <w:p>
      <w:pPr>
        <w:spacing w:before="280" w:after="120"/>
        <w:pBdr>
          <w:bottom w:val="single" w:sz="4" w:color="D0D8E4"/>
        </w:pBdr>
      </w:pPr>
      <w:r>
        <w:rPr>
          <w:rFonts w:ascii="Arial" w:hAnsi="Arial"/>
          <w:b/>
          <w:color w:val="1F4E79"/>
          <w:sz w:val="28"/>
        </w:rPr>
        <w:t>KEY FINDINGS</w:t>
      </w:r>
    </w:p>
    <w:p>
      <w:pPr>
        <w:spacing w:after="120"/>
      </w:pPr>
      <w:r>
        <w:rPr>
          <w:rFonts w:ascii="Arial" w:hAnsi="Arial"/>
          <w:sz w:val="22"/>
        </w:rPr>
        <w:t>The analysis revealed that patients face various barriers when accessing healthcare services, including issues related to their beliefs and perceptions, cost and access, and systems and provider issues. On the other hand, facilitators such as supportive healthcare providers, accessible services, and effective communication also play a crucial role in enabling patients to access the care they need. The study found that 30 patients contributed to the barriers related to beliefs and perceptions, while 29 patients experienced barriers related to systems and provider issues. Overall, the findings suggest that addressing these barriers and promoting facilitators can help improve healthcare outcomes for patients.</w:t>
      </w:r>
    </w:p>
    <w:p>
      <w:r>
        <w:br w:type="page"/>
      </w:r>
    </w:p>
    <w:p>
      <w:pPr>
        <w:spacing w:before="280" w:after="120"/>
        <w:pBdr>
          <w:bottom w:val="single" w:sz="4" w:color="D0D8E4"/>
        </w:pBdr>
      </w:pPr>
      <w:r>
        <w:rPr>
          <w:rFonts w:ascii="Arial" w:hAnsi="Arial"/>
          <w:b/>
          <w:color w:val="1F4E79"/>
          <w:sz w:val="28"/>
        </w:rPr>
        <w:t>GROUP BREAKDOWN</w:t>
      </w:r>
    </w:p>
    <w:p>
      <w:pPr>
        <w:spacing w:after="120"/>
      </w:pPr>
      <w:r>
        <w:rPr>
          <w:rFonts w:ascii="Arial" w:hAnsi="Arial"/>
          <w:sz w:val="22"/>
        </w:rPr>
        <w:t>The data was grouped into four main categories: barriers related to beliefs and perceptions, cost and access, systems and provider issues, and facilitators. The group with the most records was facilitators, with 1948 records extracted from the transcripts. This group also had the highest number of codes, with 492 unique codes assigned. In contrast, the group with the fewest records was barriers related to cost and access, with 302 records extracted. The analysis of these groups helped to identify key areas where healthcare services can be improved to better meet the needs of patients. For example, the findings suggest that addressing issues related to cost and access can help reduce barriers to care, while promoting facilitators such as supportive healthcare providers can help improve patient outcomes.</w:t>
      </w:r>
    </w:p>
    <w:p>
      <w:pPr>
        <w:spacing w:before="280" w:after="120"/>
        <w:pBdr>
          <w:bottom w:val="single" w:sz="4" w:color="D0D8E4"/>
        </w:pBdr>
      </w:pPr>
      <w:r>
        <w:rPr>
          <w:rFonts w:ascii="Arial" w:hAnsi="Arial"/>
          <w:b/>
          <w:color w:val="1F4E79"/>
          <w:sz w:val="28"/>
        </w:rPr>
        <w:t>CONCLUSION</w:t>
      </w:r>
    </w:p>
    <w:p>
      <w:pPr>
        <w:spacing w:after="120"/>
      </w:pPr>
      <w:r>
        <w:rPr>
          <w:rFonts w:ascii="Arial" w:hAnsi="Arial"/>
          <w:sz w:val="22"/>
        </w:rPr>
        <w:t>In conclusion, this study provides valuable insights into the healthcare barriers and facilitators experienced by patients. The analysis of 3562 records from 30 patients revealed a range of issues related to beliefs and perceptions, cost and access, systems and provider issues, and facilitators. The findings suggest that addressing these barriers and promoting facilitators can help improve healthcare outcomes for patients. By understanding the key areas where healthcare services can be improved, policymakers and healthcare providers can work together to develop targeted interventions and strategies to enhance patient care. Overall, this study highlights the importance of listening to the voices of patients and using their experiences to inform improvements in healthcare services. The results of this study can be used to inform future research and policy initiatives aimed at improving healthcare access and outcomes for patients.</w:t>
      </w:r>
    </w:p>
    <w:p/>
    <w:p>
      <w:pPr>
        <w:spacing w:before="280" w:after="120"/>
        <w:pBdr>
          <w:bottom w:val="single" w:sz="4" w:color="D0D8E4"/>
        </w:pBdr>
      </w:pPr>
      <w:r>
        <w:rPr>
          <w:rFonts w:ascii="Arial" w:hAnsi="Arial"/>
          <w:b/>
          <w:color w:val="1F4E79"/>
          <w:sz w:val="24"/>
        </w:rPr>
        <w:t>Summary by Group</w:t>
      </w:r>
    </w:p>
    <w:tbl>
      <w:tblPr>
        <w:tblStyle w:val="TableGrid"/>
        <w:tblW w:type="auto" w:w="0"/>
        <w:tblLayout w:type="fixed"/>
        <w:tblLook w:firstColumn="1" w:firstRow="1" w:lastColumn="0" w:lastRow="0" w:noHBand="0" w:noVBand="1" w:val="04A0"/>
      </w:tblPr>
      <w:tblGrid>
        <w:gridCol w:w="2016"/>
        <w:gridCol w:w="2016"/>
        <w:gridCol w:w="2016"/>
        <w:gridCol w:w="2016"/>
        <w:gridCol w:w="2016"/>
      </w:tblGrid>
      <w:tr>
        <w:tc>
          <w:tcPr>
            <w:tcW w:type="dxa" w:w="3600"/>
            <w:shd w:val="clear" w:color="auto" w:fill="1F4E79"/>
            <w:tcBorders>
              <w:top w:val="single" w:sz="4" w:color="CCCCCC"/>
              <w:left w:val="single" w:sz="4" w:color="CCCCCC"/>
              <w:bottom w:val="single" w:sz="4" w:color="CCCCCC"/>
              <w:right w:val="single" w:sz="4" w:color="CCCCCC"/>
            </w:tcBorders>
          </w:tcPr>
          <w:p>
            <w:pPr>
              <w:jc w:val="center"/>
            </w:pPr>
            <w:r>
              <w:rPr>
                <w:rFonts w:ascii="Arial" w:hAnsi="Arial"/>
                <w:b/>
                <w:color w:val="FFFFFF"/>
                <w:sz w:val="20"/>
              </w:rPr>
              <w:t>Group</w:t>
            </w:r>
          </w:p>
        </w:tc>
        <w:tc>
          <w:tcPr>
            <w:tcW w:type="dxa" w:w="1296"/>
            <w:shd w:val="clear" w:color="auto" w:fill="1F4E79"/>
            <w:tcBorders>
              <w:top w:val="single" w:sz="4" w:color="CCCCCC"/>
              <w:left w:val="single" w:sz="4" w:color="CCCCCC"/>
              <w:bottom w:val="single" w:sz="4" w:color="CCCCCC"/>
              <w:right w:val="single" w:sz="4" w:color="CCCCCC"/>
            </w:tcBorders>
          </w:tcPr>
          <w:p>
            <w:pPr>
              <w:jc w:val="center"/>
            </w:pPr>
            <w:r>
              <w:rPr>
                <w:rFonts w:ascii="Arial" w:hAnsi="Arial"/>
                <w:b/>
                <w:color w:val="FFFFFF"/>
                <w:sz w:val="20"/>
              </w:rPr>
              <w:t>Themes</w:t>
            </w:r>
          </w:p>
        </w:tc>
        <w:tc>
          <w:tcPr>
            <w:tcW w:type="dxa" w:w="1296"/>
            <w:shd w:val="clear" w:color="auto" w:fill="1F4E79"/>
            <w:tcBorders>
              <w:top w:val="single" w:sz="4" w:color="CCCCCC"/>
              <w:left w:val="single" w:sz="4" w:color="CCCCCC"/>
              <w:bottom w:val="single" w:sz="4" w:color="CCCCCC"/>
              <w:right w:val="single" w:sz="4" w:color="CCCCCC"/>
            </w:tcBorders>
          </w:tcPr>
          <w:p>
            <w:pPr>
              <w:jc w:val="center"/>
            </w:pPr>
            <w:r>
              <w:rPr>
                <w:rFonts w:ascii="Arial" w:hAnsi="Arial"/>
                <w:b/>
                <w:color w:val="FFFFFF"/>
                <w:sz w:val="20"/>
              </w:rPr>
              <w:t>Codes</w:t>
            </w:r>
          </w:p>
        </w:tc>
        <w:tc>
          <w:tcPr>
            <w:tcW w:type="dxa" w:w="1296"/>
            <w:shd w:val="clear" w:color="auto" w:fill="1F4E79"/>
            <w:tcBorders>
              <w:top w:val="single" w:sz="4" w:color="CCCCCC"/>
              <w:left w:val="single" w:sz="4" w:color="CCCCCC"/>
              <w:bottom w:val="single" w:sz="4" w:color="CCCCCC"/>
              <w:right w:val="single" w:sz="4" w:color="CCCCCC"/>
            </w:tcBorders>
          </w:tcPr>
          <w:p>
            <w:pPr>
              <w:jc w:val="center"/>
            </w:pPr>
            <w:r>
              <w:rPr>
                <w:rFonts w:ascii="Arial" w:hAnsi="Arial"/>
                <w:b/>
                <w:color w:val="FFFFFF"/>
                <w:sz w:val="20"/>
              </w:rPr>
              <w:t>Patients</w:t>
            </w:r>
          </w:p>
        </w:tc>
        <w:tc>
          <w:tcPr>
            <w:tcW w:type="dxa" w:w="1296"/>
            <w:shd w:val="clear" w:color="auto" w:fill="1F4E79"/>
            <w:tcBorders>
              <w:top w:val="single" w:sz="4" w:color="CCCCCC"/>
              <w:left w:val="single" w:sz="4" w:color="CCCCCC"/>
              <w:bottom w:val="single" w:sz="4" w:color="CCCCCC"/>
              <w:right w:val="single" w:sz="4" w:color="CCCCCC"/>
            </w:tcBorders>
          </w:tcPr>
          <w:p>
            <w:pPr>
              <w:jc w:val="center"/>
            </w:pPr>
            <w:r>
              <w:rPr>
                <w:rFonts w:ascii="Arial" w:hAnsi="Arial"/>
                <w:b/>
                <w:color w:val="FFFFFF"/>
                <w:sz w:val="20"/>
              </w:rPr>
              <w:t>Records</w:t>
            </w:r>
          </w:p>
        </w:tc>
      </w:tr>
      <w:tr>
        <w:tc>
          <w:tcPr>
            <w:tcW w:type="dxa" w:w="3600"/>
            <w:shd w:val="clear" w:color="auto" w:fill="EBF3FB"/>
            <w:tcBorders>
              <w:top w:val="single" w:sz="4" w:color="CCCCCC"/>
              <w:left w:val="single" w:sz="4" w:color="CCCCCC"/>
              <w:bottom w:val="single" w:sz="4" w:color="CCCCCC"/>
              <w:right w:val="single" w:sz="4" w:color="CCCCCC"/>
            </w:tcBorders>
          </w:tcPr>
          <w:p>
            <w:pPr>
              <w:jc w:val="left"/>
            </w:pPr>
            <w:r>
              <w:rPr>
                <w:rFonts w:ascii="Arial" w:hAnsi="Arial"/>
                <w:sz w:val="20"/>
              </w:rPr>
              <w:t>BARRIERS - Beliefs &amp; Perceptions</w:t>
            </w:r>
          </w:p>
        </w:tc>
        <w:tc>
          <w:tcPr>
            <w:tcW w:type="dxa" w:w="1296"/>
            <w:shd w:val="clear" w:color="auto" w:fill="EBF3FB"/>
            <w:tcBorders>
              <w:top w:val="single" w:sz="4" w:color="CCCCCC"/>
              <w:left w:val="single" w:sz="4" w:color="CCCCCC"/>
              <w:bottom w:val="single" w:sz="4" w:color="CCCCCC"/>
              <w:right w:val="single" w:sz="4" w:color="CCCCCC"/>
            </w:tcBorders>
          </w:tcPr>
          <w:p>
            <w:pPr>
              <w:jc w:val="center"/>
            </w:pPr>
            <w:r>
              <w:rPr>
                <w:rFonts w:ascii="Arial" w:hAnsi="Arial"/>
                <w:sz w:val="20"/>
              </w:rPr>
              <w:t>4</w:t>
            </w:r>
          </w:p>
        </w:tc>
        <w:tc>
          <w:tcPr>
            <w:tcW w:type="dxa" w:w="1296"/>
            <w:shd w:val="clear" w:color="auto" w:fill="EBF3FB"/>
            <w:tcBorders>
              <w:top w:val="single" w:sz="4" w:color="CCCCCC"/>
              <w:left w:val="single" w:sz="4" w:color="CCCCCC"/>
              <w:bottom w:val="single" w:sz="4" w:color="CCCCCC"/>
              <w:right w:val="single" w:sz="4" w:color="CCCCCC"/>
            </w:tcBorders>
          </w:tcPr>
          <w:p>
            <w:pPr>
              <w:jc w:val="center"/>
            </w:pPr>
            <w:r>
              <w:rPr>
                <w:rFonts w:ascii="Arial" w:hAnsi="Arial"/>
                <w:sz w:val="20"/>
              </w:rPr>
              <w:t>218</w:t>
            </w:r>
          </w:p>
        </w:tc>
        <w:tc>
          <w:tcPr>
            <w:tcW w:type="dxa" w:w="1296"/>
            <w:shd w:val="clear" w:color="auto" w:fill="EBF3FB"/>
            <w:tcBorders>
              <w:top w:val="single" w:sz="4" w:color="CCCCCC"/>
              <w:left w:val="single" w:sz="4" w:color="CCCCCC"/>
              <w:bottom w:val="single" w:sz="4" w:color="CCCCCC"/>
              <w:right w:val="single" w:sz="4" w:color="CCCCCC"/>
            </w:tcBorders>
          </w:tcPr>
          <w:p>
            <w:pPr>
              <w:jc w:val="center"/>
            </w:pPr>
            <w:r>
              <w:rPr>
                <w:rFonts w:ascii="Arial" w:hAnsi="Arial"/>
                <w:sz w:val="20"/>
              </w:rPr>
              <w:t>30</w:t>
            </w:r>
          </w:p>
        </w:tc>
        <w:tc>
          <w:tcPr>
            <w:tcW w:type="dxa" w:w="1296"/>
            <w:shd w:val="clear" w:color="auto" w:fill="EBF3FB"/>
            <w:tcBorders>
              <w:top w:val="single" w:sz="4" w:color="CCCCCC"/>
              <w:left w:val="single" w:sz="4" w:color="CCCCCC"/>
              <w:bottom w:val="single" w:sz="4" w:color="CCCCCC"/>
              <w:right w:val="single" w:sz="4" w:color="CCCCCC"/>
            </w:tcBorders>
          </w:tcPr>
          <w:p>
            <w:pPr>
              <w:jc w:val="center"/>
            </w:pPr>
            <w:r>
              <w:rPr>
                <w:rFonts w:ascii="Arial" w:hAnsi="Arial"/>
                <w:sz w:val="20"/>
              </w:rPr>
              <w:t>828</w:t>
            </w:r>
          </w:p>
        </w:tc>
      </w:tr>
      <w:tr>
        <w:tc>
          <w:tcPr>
            <w:tcW w:type="dxa" w:w="3600"/>
            <w:shd w:val="clear" w:color="auto" w:fill="FFFFFF"/>
            <w:tcBorders>
              <w:top w:val="single" w:sz="4" w:color="CCCCCC"/>
              <w:left w:val="single" w:sz="4" w:color="CCCCCC"/>
              <w:bottom w:val="single" w:sz="4" w:color="CCCCCC"/>
              <w:right w:val="single" w:sz="4" w:color="CCCCCC"/>
            </w:tcBorders>
          </w:tcPr>
          <w:p>
            <w:pPr>
              <w:jc w:val="left"/>
            </w:pPr>
            <w:r>
              <w:rPr>
                <w:rFonts w:ascii="Arial" w:hAnsi="Arial"/>
                <w:sz w:val="20"/>
              </w:rPr>
              <w:t>BARRIERS - Cost &amp; Access</w:t>
            </w:r>
          </w:p>
        </w:tc>
        <w:tc>
          <w:tcPr>
            <w:tcW w:type="dxa" w:w="1296"/>
            <w:shd w:val="clear" w:color="auto" w:fill="FFFFFF"/>
            <w:tcBorders>
              <w:top w:val="single" w:sz="4" w:color="CCCCCC"/>
              <w:left w:val="single" w:sz="4" w:color="CCCCCC"/>
              <w:bottom w:val="single" w:sz="4" w:color="CCCCCC"/>
              <w:right w:val="single" w:sz="4" w:color="CCCCCC"/>
            </w:tcBorders>
          </w:tcPr>
          <w:p>
            <w:pPr>
              <w:jc w:val="center"/>
            </w:pPr>
            <w:r>
              <w:rPr>
                <w:rFonts w:ascii="Arial" w:hAnsi="Arial"/>
                <w:sz w:val="20"/>
              </w:rPr>
              <w:t>5</w:t>
            </w:r>
          </w:p>
        </w:tc>
        <w:tc>
          <w:tcPr>
            <w:tcW w:type="dxa" w:w="1296"/>
            <w:shd w:val="clear" w:color="auto" w:fill="FFFFFF"/>
            <w:tcBorders>
              <w:top w:val="single" w:sz="4" w:color="CCCCCC"/>
              <w:left w:val="single" w:sz="4" w:color="CCCCCC"/>
              <w:bottom w:val="single" w:sz="4" w:color="CCCCCC"/>
              <w:right w:val="single" w:sz="4" w:color="CCCCCC"/>
            </w:tcBorders>
          </w:tcPr>
          <w:p>
            <w:pPr>
              <w:jc w:val="center"/>
            </w:pPr>
            <w:r>
              <w:rPr>
                <w:rFonts w:ascii="Arial" w:hAnsi="Arial"/>
                <w:sz w:val="20"/>
              </w:rPr>
              <w:t>82</w:t>
            </w:r>
          </w:p>
        </w:tc>
        <w:tc>
          <w:tcPr>
            <w:tcW w:type="dxa" w:w="1296"/>
            <w:shd w:val="clear" w:color="auto" w:fill="FFFFFF"/>
            <w:tcBorders>
              <w:top w:val="single" w:sz="4" w:color="CCCCCC"/>
              <w:left w:val="single" w:sz="4" w:color="CCCCCC"/>
              <w:bottom w:val="single" w:sz="4" w:color="CCCCCC"/>
              <w:right w:val="single" w:sz="4" w:color="CCCCCC"/>
            </w:tcBorders>
          </w:tcPr>
          <w:p>
            <w:pPr>
              <w:jc w:val="center"/>
            </w:pPr>
            <w:r>
              <w:rPr>
                <w:rFonts w:ascii="Arial" w:hAnsi="Arial"/>
                <w:sz w:val="20"/>
              </w:rPr>
              <w:t>30</w:t>
            </w:r>
          </w:p>
        </w:tc>
        <w:tc>
          <w:tcPr>
            <w:tcW w:type="dxa" w:w="1296"/>
            <w:shd w:val="clear" w:color="auto" w:fill="FFFFFF"/>
            <w:tcBorders>
              <w:top w:val="single" w:sz="4" w:color="CCCCCC"/>
              <w:left w:val="single" w:sz="4" w:color="CCCCCC"/>
              <w:bottom w:val="single" w:sz="4" w:color="CCCCCC"/>
              <w:right w:val="single" w:sz="4" w:color="CCCCCC"/>
            </w:tcBorders>
          </w:tcPr>
          <w:p>
            <w:pPr>
              <w:jc w:val="center"/>
            </w:pPr>
            <w:r>
              <w:rPr>
                <w:rFonts w:ascii="Arial" w:hAnsi="Arial"/>
                <w:sz w:val="20"/>
              </w:rPr>
              <w:t>302</w:t>
            </w:r>
          </w:p>
        </w:tc>
      </w:tr>
      <w:tr>
        <w:tc>
          <w:tcPr>
            <w:tcW w:type="dxa" w:w="3600"/>
            <w:shd w:val="clear" w:color="auto" w:fill="EBF3FB"/>
            <w:tcBorders>
              <w:top w:val="single" w:sz="4" w:color="CCCCCC"/>
              <w:left w:val="single" w:sz="4" w:color="CCCCCC"/>
              <w:bottom w:val="single" w:sz="4" w:color="CCCCCC"/>
              <w:right w:val="single" w:sz="4" w:color="CCCCCC"/>
            </w:tcBorders>
          </w:tcPr>
          <w:p>
            <w:pPr>
              <w:jc w:val="left"/>
            </w:pPr>
            <w:r>
              <w:rPr>
                <w:rFonts w:ascii="Arial" w:hAnsi="Arial"/>
                <w:sz w:val="20"/>
              </w:rPr>
              <w:t>FACILITATORS</w:t>
            </w:r>
          </w:p>
        </w:tc>
        <w:tc>
          <w:tcPr>
            <w:tcW w:type="dxa" w:w="1296"/>
            <w:shd w:val="clear" w:color="auto" w:fill="EBF3FB"/>
            <w:tcBorders>
              <w:top w:val="single" w:sz="4" w:color="CCCCCC"/>
              <w:left w:val="single" w:sz="4" w:color="CCCCCC"/>
              <w:bottom w:val="single" w:sz="4" w:color="CCCCCC"/>
              <w:right w:val="single" w:sz="4" w:color="CCCCCC"/>
            </w:tcBorders>
          </w:tcPr>
          <w:p>
            <w:pPr>
              <w:jc w:val="center"/>
            </w:pPr>
            <w:r>
              <w:rPr>
                <w:rFonts w:ascii="Arial" w:hAnsi="Arial"/>
                <w:sz w:val="20"/>
              </w:rPr>
              <w:t>7</w:t>
            </w:r>
          </w:p>
        </w:tc>
        <w:tc>
          <w:tcPr>
            <w:tcW w:type="dxa" w:w="1296"/>
            <w:shd w:val="clear" w:color="auto" w:fill="EBF3FB"/>
            <w:tcBorders>
              <w:top w:val="single" w:sz="4" w:color="CCCCCC"/>
              <w:left w:val="single" w:sz="4" w:color="CCCCCC"/>
              <w:bottom w:val="single" w:sz="4" w:color="CCCCCC"/>
              <w:right w:val="single" w:sz="4" w:color="CCCCCC"/>
            </w:tcBorders>
          </w:tcPr>
          <w:p>
            <w:pPr>
              <w:jc w:val="center"/>
            </w:pPr>
            <w:r>
              <w:rPr>
                <w:rFonts w:ascii="Arial" w:hAnsi="Arial"/>
                <w:sz w:val="20"/>
              </w:rPr>
              <w:t>492</w:t>
            </w:r>
          </w:p>
        </w:tc>
        <w:tc>
          <w:tcPr>
            <w:tcW w:type="dxa" w:w="1296"/>
            <w:shd w:val="clear" w:color="auto" w:fill="EBF3FB"/>
            <w:tcBorders>
              <w:top w:val="single" w:sz="4" w:color="CCCCCC"/>
              <w:left w:val="single" w:sz="4" w:color="CCCCCC"/>
              <w:bottom w:val="single" w:sz="4" w:color="CCCCCC"/>
              <w:right w:val="single" w:sz="4" w:color="CCCCCC"/>
            </w:tcBorders>
          </w:tcPr>
          <w:p>
            <w:pPr>
              <w:jc w:val="center"/>
            </w:pPr>
            <w:r>
              <w:rPr>
                <w:rFonts w:ascii="Arial" w:hAnsi="Arial"/>
                <w:sz w:val="20"/>
              </w:rPr>
              <w:t>30</w:t>
            </w:r>
          </w:p>
        </w:tc>
        <w:tc>
          <w:tcPr>
            <w:tcW w:type="dxa" w:w="1296"/>
            <w:shd w:val="clear" w:color="auto" w:fill="EBF3FB"/>
            <w:tcBorders>
              <w:top w:val="single" w:sz="4" w:color="CCCCCC"/>
              <w:left w:val="single" w:sz="4" w:color="CCCCCC"/>
              <w:bottom w:val="single" w:sz="4" w:color="CCCCCC"/>
              <w:right w:val="single" w:sz="4" w:color="CCCCCC"/>
            </w:tcBorders>
          </w:tcPr>
          <w:p>
            <w:pPr>
              <w:jc w:val="center"/>
            </w:pPr>
            <w:r>
              <w:rPr>
                <w:rFonts w:ascii="Arial" w:hAnsi="Arial"/>
                <w:sz w:val="20"/>
              </w:rPr>
              <w:t>1948</w:t>
            </w:r>
          </w:p>
        </w:tc>
      </w:tr>
      <w:tr>
        <w:tc>
          <w:tcPr>
            <w:tcW w:type="dxa" w:w="3600"/>
            <w:shd w:val="clear" w:color="auto" w:fill="FFFFFF"/>
            <w:tcBorders>
              <w:top w:val="single" w:sz="4" w:color="CCCCCC"/>
              <w:left w:val="single" w:sz="4" w:color="CCCCCC"/>
              <w:bottom w:val="single" w:sz="4" w:color="CCCCCC"/>
              <w:right w:val="single" w:sz="4" w:color="CCCCCC"/>
            </w:tcBorders>
          </w:tcPr>
          <w:p>
            <w:pPr>
              <w:jc w:val="left"/>
            </w:pPr>
            <w:r>
              <w:rPr>
                <w:rFonts w:ascii="Arial" w:hAnsi="Arial"/>
                <w:sz w:val="20"/>
              </w:rPr>
              <w:t>BARRIERS - Systems &amp; Provider Issues</w:t>
            </w:r>
          </w:p>
        </w:tc>
        <w:tc>
          <w:tcPr>
            <w:tcW w:type="dxa" w:w="1296"/>
            <w:shd w:val="clear" w:color="auto" w:fill="FFFFFF"/>
            <w:tcBorders>
              <w:top w:val="single" w:sz="4" w:color="CCCCCC"/>
              <w:left w:val="single" w:sz="4" w:color="CCCCCC"/>
              <w:bottom w:val="single" w:sz="4" w:color="CCCCCC"/>
              <w:right w:val="single" w:sz="4" w:color="CCCCCC"/>
            </w:tcBorders>
          </w:tcPr>
          <w:p>
            <w:pPr>
              <w:jc w:val="center"/>
            </w:pPr>
            <w:r>
              <w:rPr>
                <w:rFonts w:ascii="Arial" w:hAnsi="Arial"/>
                <w:sz w:val="20"/>
              </w:rPr>
              <w:t>5</w:t>
            </w:r>
          </w:p>
        </w:tc>
        <w:tc>
          <w:tcPr>
            <w:tcW w:type="dxa" w:w="1296"/>
            <w:shd w:val="clear" w:color="auto" w:fill="FFFFFF"/>
            <w:tcBorders>
              <w:top w:val="single" w:sz="4" w:color="CCCCCC"/>
              <w:left w:val="single" w:sz="4" w:color="CCCCCC"/>
              <w:bottom w:val="single" w:sz="4" w:color="CCCCCC"/>
              <w:right w:val="single" w:sz="4" w:color="CCCCCC"/>
            </w:tcBorders>
          </w:tcPr>
          <w:p>
            <w:pPr>
              <w:jc w:val="center"/>
            </w:pPr>
            <w:r>
              <w:rPr>
                <w:rFonts w:ascii="Arial" w:hAnsi="Arial"/>
                <w:sz w:val="20"/>
              </w:rPr>
              <w:t>140</w:t>
            </w:r>
          </w:p>
        </w:tc>
        <w:tc>
          <w:tcPr>
            <w:tcW w:type="dxa" w:w="1296"/>
            <w:shd w:val="clear" w:color="auto" w:fill="FFFFFF"/>
            <w:tcBorders>
              <w:top w:val="single" w:sz="4" w:color="CCCCCC"/>
              <w:left w:val="single" w:sz="4" w:color="CCCCCC"/>
              <w:bottom w:val="single" w:sz="4" w:color="CCCCCC"/>
              <w:right w:val="single" w:sz="4" w:color="CCCCCC"/>
            </w:tcBorders>
          </w:tcPr>
          <w:p>
            <w:pPr>
              <w:jc w:val="center"/>
            </w:pPr>
            <w:r>
              <w:rPr>
                <w:rFonts w:ascii="Arial" w:hAnsi="Arial"/>
                <w:sz w:val="20"/>
              </w:rPr>
              <w:t>29</w:t>
            </w:r>
          </w:p>
        </w:tc>
        <w:tc>
          <w:tcPr>
            <w:tcW w:type="dxa" w:w="1296"/>
            <w:shd w:val="clear" w:color="auto" w:fill="FFFFFF"/>
            <w:tcBorders>
              <w:top w:val="single" w:sz="4" w:color="CCCCCC"/>
              <w:left w:val="single" w:sz="4" w:color="CCCCCC"/>
              <w:bottom w:val="single" w:sz="4" w:color="CCCCCC"/>
              <w:right w:val="single" w:sz="4" w:color="CCCCCC"/>
            </w:tcBorders>
          </w:tcPr>
          <w:p>
            <w:pPr>
              <w:jc w:val="center"/>
            </w:pPr>
            <w:r>
              <w:rPr>
                <w:rFonts w:ascii="Arial" w:hAnsi="Arial"/>
                <w:sz w:val="20"/>
              </w:rPr>
              <w:t>484</w:t>
            </w:r>
          </w:p>
        </w:tc>
      </w:tr>
    </w:tbl>
    <w:sectPr w:rsidR="00FC693F" w:rsidRPr="0006063C" w:rsidSect="00034616">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