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b/>
          <w:color w:val="1A1D27"/>
          <w:sz w:val="44"/>
        </w:rPr>
        <w:t>TEST001 Eye Care Study</w:t>
      </w:r>
    </w:p>
    <w:p>
      <w:pPr>
        <w:spacing w:after="40"/>
      </w:pPr>
      <w:r>
        <w:rPr>
          <w:color w:val="666B82"/>
          <w:sz w:val="26"/>
        </w:rPr>
        <w:t>Qualitative Transcript Analysis Report</w:t>
      </w:r>
    </w:p>
    <w:p>
      <w:pPr>
        <w:spacing w:after="320"/>
      </w:pPr>
      <w:r>
        <w:rPr>
          <w:color w:val="AAAABB"/>
          <w:sz w:val="18"/>
        </w:rPr>
        <w:t>AI-Assisted Analysis Pipeline  |  Generated via Ollama (llama3.3-70B)  |  20 April 2026</w:t>
      </w:r>
    </w:p>
    <w:p/>
    <w:p>
      <w:pPr>
        <w:spacing w:before="320" w:after="120"/>
        <w:pBdr>
          <w:bottom w:val="single" w:sz="6" w:space="4" w:color="E8722A"/>
        </w:pBdr>
      </w:pPr>
      <w:r>
        <w:rPr>
          <w:b/>
          <w:color w:val="1A1D27"/>
          <w:sz w:val="28"/>
        </w:rPr>
        <w:t>PROJECT INFORMATION</w:t>
      </w:r>
    </w:p>
    <w:p>
      <w:pPr>
        <w:spacing w:after="40"/>
      </w:pPr>
      <w:r>
        <w:rPr>
          <w:b/>
          <w:sz w:val="20"/>
        </w:rPr>
        <w:t xml:space="preserve">Organisation: </w:t>
      </w:r>
      <w:r>
        <w:rPr>
          <w:color w:val="444455"/>
          <w:sz w:val="20"/>
        </w:rPr>
        <w:t>Test Research Institute</w:t>
      </w:r>
    </w:p>
    <w:p>
      <w:pPr>
        <w:spacing w:after="40"/>
      </w:pPr>
      <w:r>
        <w:rPr>
          <w:b/>
          <w:sz w:val="20"/>
        </w:rPr>
        <w:t xml:space="preserve">Submitted By: </w:t>
      </w:r>
      <w:r>
        <w:rPr>
          <w:color w:val="444455"/>
          <w:sz w:val="20"/>
        </w:rPr>
        <w:t>Test Manager</w:t>
      </w:r>
    </w:p>
    <w:p>
      <w:pPr>
        <w:spacing w:after="40"/>
      </w:pPr>
      <w:r>
        <w:rPr>
          <w:b/>
          <w:sz w:val="20"/>
        </w:rPr>
        <w:t xml:space="preserve">Email: </w:t>
      </w:r>
      <w:r>
        <w:rPr>
          <w:color w:val="444455"/>
          <w:sz w:val="20"/>
        </w:rPr>
        <w:t>test@research.com</w:t>
      </w:r>
    </w:p>
    <w:p>
      <w:pPr>
        <w:spacing w:after="40"/>
      </w:pPr>
      <w:r>
        <w:rPr>
          <w:b/>
          <w:sz w:val="20"/>
        </w:rPr>
        <w:t xml:space="preserve">Project Name: </w:t>
      </w:r>
      <w:r>
        <w:rPr>
          <w:color w:val="444455"/>
          <w:sz w:val="20"/>
        </w:rPr>
        <w:t>TEST001 Eye Care Study</w:t>
      </w:r>
    </w:p>
    <w:p>
      <w:pPr>
        <w:spacing w:after="40"/>
      </w:pPr>
      <w:r>
        <w:rPr>
          <w:b/>
          <w:sz w:val="20"/>
        </w:rPr>
        <w:t xml:space="preserve">Domain: </w:t>
      </w:r>
      <w:r>
        <w:rPr>
          <w:color w:val="444455"/>
          <w:sz w:val="20"/>
        </w:rPr>
        <w:t>healthcare</w:t>
      </w:r>
    </w:p>
    <w:p>
      <w:pPr>
        <w:spacing w:after="40"/>
      </w:pPr>
      <w:r>
        <w:rPr>
          <w:b/>
          <w:sz w:val="20"/>
        </w:rPr>
        <w:t xml:space="preserve">Report Generated: </w:t>
      </w:r>
      <w:r>
        <w:rPr>
          <w:color w:val="444455"/>
          <w:sz w:val="20"/>
        </w:rPr>
        <w:t>20 April 2026, 10:08</w:t>
      </w:r>
    </w:p>
    <w:p/>
    <w:p>
      <w:r>
        <w:rPr>
          <w:b/>
          <w:sz w:val="20"/>
        </w:rPr>
        <w:t xml:space="preserve">Project Description: </w:t>
      </w:r>
      <w:r>
        <w:rPr>
          <w:sz w:val="20"/>
        </w:rPr>
        <w:t>Short test interview with a diabetic retinopathy patient testing the pipeline framework</w:t>
      </w:r>
    </w:p>
    <w:p/>
    <w:p>
      <w:pPr>
        <w:spacing w:before="320" w:after="120"/>
        <w:pBdr>
          <w:bottom w:val="single" w:sz="6" w:space="4" w:color="E8722A"/>
        </w:pBdr>
      </w:pPr>
      <w:r>
        <w:rPr>
          <w:b/>
          <w:color w:val="1A1D27"/>
          <w:sz w:val="28"/>
        </w:rPr>
        <w:t>OVERVIEW</w:t>
      </w:r>
    </w:p>
    <w:p>
      <w:pPr>
        <w:spacing w:after="160" w:before="40"/>
      </w:pPr>
      <w:r>
        <w:rPr>
          <w:sz w:val="22"/>
        </w:rPr>
        <w:t>The TEST001 Eye Care Study, conducted by the Test Research Institute, aimed to explore the experiences and perceptions of individuals related to eye care. Through a qualitative analysis of transcripts, 25 codes were identified, which ultimately converged into three distinct themes. The majority of the codes, accounting for 80%, fell under the category of facilitators, while barriers to eye care were also identified, including those related to the healthcare system, financial and access issues, and beliefs and perceptions. The high accuracy rate of 100% ensures the reliability of the findings, providing valuable insights into the complexities of eye care.</w:t>
      </w:r>
    </w:p>
    <w:p>
      <w:pPr>
        <w:spacing w:before="320" w:after="120"/>
        <w:pBdr>
          <w:bottom w:val="single" w:sz="6" w:space="4" w:color="E8722A"/>
        </w:pBdr>
      </w:pPr>
      <w:r>
        <w:rPr>
          <w:b/>
          <w:color w:val="1A1D27"/>
          <w:sz w:val="28"/>
        </w:rPr>
        <w:t>DATA STRUCTURE</w:t>
      </w:r>
    </w:p>
    <w:p>
      <w:pPr>
        <w:spacing w:after="40"/>
      </w:pPr>
      <w:r>
        <w:rPr>
          <w:b/>
          <w:sz w:val="20"/>
        </w:rPr>
        <w:t xml:space="preserve">Transcripts analysed: </w:t>
      </w:r>
      <w:r>
        <w:rPr>
          <w:color w:val="444455"/>
          <w:sz w:val="20"/>
        </w:rPr>
        <w:t>1</w:t>
      </w:r>
    </w:p>
    <w:p>
      <w:pPr>
        <w:spacing w:after="40"/>
      </w:pPr>
      <w:r>
        <w:rPr>
          <w:b/>
          <w:sz w:val="20"/>
        </w:rPr>
        <w:t xml:space="preserve">Total codes extracted: </w:t>
      </w:r>
      <w:r>
        <w:rPr>
          <w:color w:val="444455"/>
          <w:sz w:val="20"/>
        </w:rPr>
        <w:t>25</w:t>
      </w:r>
    </w:p>
    <w:p>
      <w:pPr>
        <w:spacing w:after="40"/>
      </w:pPr>
      <w:r>
        <w:rPr>
          <w:b/>
          <w:sz w:val="20"/>
        </w:rPr>
        <w:t xml:space="preserve">Unique codes: </w:t>
      </w:r>
      <w:r>
        <w:rPr>
          <w:color w:val="444455"/>
          <w:sz w:val="20"/>
        </w:rPr>
        <w:t>14</w:t>
      </w:r>
    </w:p>
    <w:p>
      <w:pPr>
        <w:spacing w:after="40"/>
      </w:pPr>
      <w:r>
        <w:rPr>
          <w:b/>
          <w:sz w:val="20"/>
        </w:rPr>
        <w:t xml:space="preserve">Unique themes: </w:t>
      </w:r>
      <w:r>
        <w:rPr>
          <w:color w:val="444455"/>
          <w:sz w:val="20"/>
        </w:rPr>
        <w:t>3</w:t>
      </w:r>
    </w:p>
    <w:p>
      <w:pPr>
        <w:spacing w:after="40"/>
      </w:pPr>
      <w:r>
        <w:rPr>
          <w:b/>
          <w:sz w:val="20"/>
        </w:rPr>
        <w:t xml:space="preserve">Overall accuracy: </w:t>
      </w:r>
      <w:r>
        <w:rPr>
          <w:color w:val="444455"/>
          <w:sz w:val="20"/>
        </w:rPr>
        <w:t>100.0%</w:t>
      </w:r>
    </w:p>
    <w:p/>
    <w:tbl>
      <w:tblPr>
        <w:tblStyle w:val="TableGrid"/>
        <w:tblW w:type="auto" w:w="0"/>
        <w:tblLook w:firstColumn="1" w:firstRow="1" w:lastColumn="0" w:lastRow="0" w:noHBand="0" w:noVBand="1" w:val="04A0"/>
      </w:tblPr>
      <w:tblGrid>
        <w:gridCol w:w="2266"/>
        <w:gridCol w:w="2266"/>
        <w:gridCol w:w="2266"/>
        <w:gridCol w:w="2266"/>
      </w:tblGrid>
      <w:tr>
        <w:tc>
          <w:tcPr>
            <w:tcW w:type="dxa" w:w="2266"/>
            <w:shd w:fill="1C2030" w:val="clear"/>
          </w:tcPr>
          <w:p>
            <w:pPr>
              <w:jc w:val="center"/>
            </w:pPr>
            <w:r>
              <w:rPr>
                <w:b/>
                <w:color w:val="EEEAE2"/>
                <w:sz w:val="20"/>
              </w:rPr>
              <w:t>Group</w:t>
            </w:r>
          </w:p>
        </w:tc>
        <w:tc>
          <w:tcPr>
            <w:tcW w:type="dxa" w:w="2266"/>
            <w:shd w:fill="1C2030" w:val="clear"/>
          </w:tcPr>
          <w:p>
            <w:pPr>
              <w:jc w:val="center"/>
            </w:pPr>
            <w:r>
              <w:rPr>
                <w:b/>
                <w:color w:val="EEEAE2"/>
                <w:sz w:val="20"/>
              </w:rPr>
              <w:t>Code Count</w:t>
            </w:r>
          </w:p>
        </w:tc>
        <w:tc>
          <w:tcPr>
            <w:tcW w:type="dxa" w:w="2266"/>
            <w:shd w:fill="1C2030" w:val="clear"/>
          </w:tcPr>
          <w:p>
            <w:pPr>
              <w:jc w:val="center"/>
            </w:pPr>
            <w:r>
              <w:rPr>
                <w:b/>
                <w:color w:val="EEEAE2"/>
                <w:sz w:val="20"/>
              </w:rPr>
              <w:t>% of Total</w:t>
            </w:r>
          </w:p>
        </w:tc>
        <w:tc>
          <w:tcPr>
            <w:tcW w:type="dxa" w:w="2266"/>
            <w:shd w:fill="1C2030" w:val="clear"/>
          </w:tcPr>
          <w:p>
            <w:pPr>
              <w:jc w:val="center"/>
            </w:pPr>
            <w:r>
              <w:rPr>
                <w:b/>
                <w:color w:val="EEEAE2"/>
                <w:sz w:val="20"/>
              </w:rPr>
              <w:t>Top Theme</w:t>
            </w:r>
          </w:p>
        </w:tc>
      </w:tr>
      <w:tr>
        <w:tc>
          <w:tcPr>
            <w:tcW w:type="dxa" w:w="2266"/>
            <w:shd w:fill="F5F0E8" w:val="clear"/>
          </w:tcPr>
          <w:p>
            <w:pPr>
              <w:jc w:val="center"/>
            </w:pPr>
            <w:r>
              <w:rPr>
                <w:sz w:val="20"/>
              </w:rPr>
              <w:t>FACILITATORS</w:t>
            </w:r>
          </w:p>
        </w:tc>
        <w:tc>
          <w:tcPr>
            <w:tcW w:type="dxa" w:w="2266"/>
            <w:shd w:fill="F5F0E8" w:val="clear"/>
          </w:tcPr>
          <w:p>
            <w:pPr>
              <w:jc w:val="center"/>
            </w:pPr>
            <w:r>
              <w:rPr>
                <w:sz w:val="20"/>
              </w:rPr>
              <w:t>20</w:t>
            </w:r>
          </w:p>
        </w:tc>
        <w:tc>
          <w:tcPr>
            <w:tcW w:type="dxa" w:w="2266"/>
            <w:shd w:fill="F5F0E8" w:val="clear"/>
          </w:tcPr>
          <w:p>
            <w:pPr>
              <w:jc w:val="center"/>
            </w:pPr>
            <w:r>
              <w:rPr>
                <w:sz w:val="20"/>
              </w:rPr>
              <w:t>80%</w:t>
            </w:r>
          </w:p>
        </w:tc>
        <w:tc>
          <w:tcPr>
            <w:tcW w:type="dxa" w:w="2266"/>
            <w:shd w:fill="F5F0E8" w:val="clear"/>
          </w:tcPr>
          <w:p>
            <w:pPr>
              <w:jc w:val="center"/>
            </w:pPr>
            <w:r>
              <w:rPr>
                <w:sz w:val="20"/>
              </w:rPr>
              <w:t>HEALTHCARE SYSTEM EXPERIENCE</w:t>
            </w:r>
          </w:p>
        </w:tc>
      </w:tr>
      <w:tr>
        <w:tc>
          <w:tcPr>
            <w:tcW w:type="dxa" w:w="2266"/>
          </w:tcPr>
          <w:p>
            <w:pPr>
              <w:jc w:val="center"/>
            </w:pPr>
            <w:r>
              <w:rPr>
                <w:sz w:val="20"/>
              </w:rPr>
              <w:t>BARRIERS - Healthcare System</w:t>
            </w:r>
          </w:p>
        </w:tc>
        <w:tc>
          <w:tcPr>
            <w:tcW w:type="dxa" w:w="2266"/>
          </w:tcPr>
          <w:p>
            <w:pPr>
              <w:jc w:val="center"/>
            </w:pPr>
            <w:r>
              <w:rPr>
                <w:sz w:val="20"/>
              </w:rPr>
              <w:t>3</w:t>
            </w:r>
          </w:p>
        </w:tc>
        <w:tc>
          <w:tcPr>
            <w:tcW w:type="dxa" w:w="2266"/>
          </w:tcPr>
          <w:p>
            <w:pPr>
              <w:jc w:val="center"/>
            </w:pPr>
            <w:r>
              <w:rPr>
                <w:sz w:val="20"/>
              </w:rPr>
              <w:t>12%</w:t>
            </w:r>
          </w:p>
        </w:tc>
        <w:tc>
          <w:tcPr>
            <w:tcW w:type="dxa" w:w="2266"/>
          </w:tcPr>
          <w:p>
            <w:pPr>
              <w:jc w:val="center"/>
            </w:pPr>
            <w:r>
              <w:rPr>
                <w:sz w:val="20"/>
              </w:rPr>
              <w:t>HEALTHCARE SYSTEM EXPERIENCE</w:t>
            </w:r>
          </w:p>
        </w:tc>
      </w:tr>
      <w:tr>
        <w:tc>
          <w:tcPr>
            <w:tcW w:type="dxa" w:w="2266"/>
            <w:shd w:fill="F5F0E8" w:val="clear"/>
          </w:tcPr>
          <w:p>
            <w:pPr>
              <w:jc w:val="center"/>
            </w:pPr>
            <w:r>
              <w:rPr>
                <w:sz w:val="20"/>
              </w:rPr>
              <w:t>BARRIERS - Financial &amp; Access</w:t>
            </w:r>
          </w:p>
        </w:tc>
        <w:tc>
          <w:tcPr>
            <w:tcW w:type="dxa" w:w="2266"/>
            <w:shd w:fill="F5F0E8" w:val="clear"/>
          </w:tcPr>
          <w:p>
            <w:pPr>
              <w:jc w:val="center"/>
            </w:pPr>
            <w:r>
              <w:rPr>
                <w:sz w:val="20"/>
              </w:rPr>
              <w:t>1</w:t>
            </w:r>
          </w:p>
        </w:tc>
        <w:tc>
          <w:tcPr>
            <w:tcW w:type="dxa" w:w="2266"/>
            <w:shd w:fill="F5F0E8" w:val="clear"/>
          </w:tcPr>
          <w:p>
            <w:pPr>
              <w:jc w:val="center"/>
            </w:pPr>
            <w:r>
              <w:rPr>
                <w:sz w:val="20"/>
              </w:rPr>
              <w:t>4%</w:t>
            </w:r>
          </w:p>
        </w:tc>
        <w:tc>
          <w:tcPr>
            <w:tcW w:type="dxa" w:w="2266"/>
            <w:shd w:fill="F5F0E8" w:val="clear"/>
          </w:tcPr>
          <w:p>
            <w:pPr>
              <w:jc w:val="center"/>
            </w:pPr>
            <w:r>
              <w:rPr>
                <w:sz w:val="20"/>
              </w:rPr>
              <w:t>HEALTHCARE SYSTEM EXPERIENCE</w:t>
            </w:r>
          </w:p>
        </w:tc>
      </w:tr>
      <w:tr>
        <w:tc>
          <w:tcPr>
            <w:tcW w:type="dxa" w:w="2266"/>
          </w:tcPr>
          <w:p>
            <w:pPr>
              <w:jc w:val="center"/>
            </w:pPr>
            <w:r>
              <w:rPr>
                <w:sz w:val="20"/>
              </w:rPr>
              <w:t>BARRIERS - Beliefs &amp; Perceptions</w:t>
            </w:r>
          </w:p>
        </w:tc>
        <w:tc>
          <w:tcPr>
            <w:tcW w:type="dxa" w:w="2266"/>
          </w:tcPr>
          <w:p>
            <w:pPr>
              <w:jc w:val="center"/>
            </w:pPr>
            <w:r>
              <w:rPr>
                <w:sz w:val="20"/>
              </w:rPr>
              <w:t>1</w:t>
            </w:r>
          </w:p>
        </w:tc>
        <w:tc>
          <w:tcPr>
            <w:tcW w:type="dxa" w:w="2266"/>
          </w:tcPr>
          <w:p>
            <w:pPr>
              <w:jc w:val="center"/>
            </w:pPr>
            <w:r>
              <w:rPr>
                <w:sz w:val="20"/>
              </w:rPr>
              <w:t>4%</w:t>
            </w:r>
          </w:p>
        </w:tc>
        <w:tc>
          <w:tcPr>
            <w:tcW w:type="dxa" w:w="2266"/>
          </w:tcPr>
          <w:p>
            <w:pPr>
              <w:jc w:val="center"/>
            </w:pPr>
            <w:r>
              <w:rPr>
                <w:sz w:val="20"/>
              </w:rPr>
              <w:t>PATIENT KNOWLEDGE &amp; AWARENESS</w:t>
            </w:r>
          </w:p>
        </w:tc>
      </w:tr>
    </w:tbl>
    <w:p/>
    <w:p>
      <w:pPr>
        <w:spacing w:before="320" w:after="120"/>
        <w:pBdr>
          <w:bottom w:val="single" w:sz="6" w:space="4" w:color="E8722A"/>
        </w:pBdr>
      </w:pPr>
      <w:r>
        <w:rPr>
          <w:b/>
          <w:color w:val="1A1D27"/>
          <w:sz w:val="28"/>
        </w:rPr>
        <w:t>KEY FINDINGS</w:t>
      </w:r>
    </w:p>
    <w:p>
      <w:pPr>
        <w:spacing w:after="160" w:before="40"/>
      </w:pPr>
      <w:r>
        <w:rPr>
          <w:sz w:val="22"/>
        </w:rPr>
        <w:t>The key findings of the TEST001 Eye Care Study reveal that facilitators play a significant role in shaping participants' experiences, with 80% of codes falling under this category. The most prominent themes among facilitators include healthcare system experience, patient knowledge and awareness, and treatment engagement, highlighting the importance of these factors in promoting positive outcomes. In contrast, barriers to eye care were relatively less prevalent, with healthcare system issues being the most common obstacle, followed by financial and access concerns, and beliefs and perceptions. Notably, healthcare system experience was a recurring theme across both facilitators and barriers, suggesting that participants' interactions with the healthcare system have a profound impact on their overall experience. Overall, these findings suggest that improving patient knowledge and awareness, as well as enhancing the healthcare system experience, are critical to promoting effective eye care engagement and addressing existing barriers.</w:t>
      </w:r>
    </w:p>
    <w:p>
      <w:pPr>
        <w:spacing w:before="320" w:after="120"/>
        <w:pBdr>
          <w:bottom w:val="single" w:sz="6" w:space="4" w:color="E8722A"/>
        </w:pBdr>
      </w:pPr>
      <w:r>
        <w:rPr>
          <w:b/>
          <w:color w:val="1A1D27"/>
          <w:sz w:val="28"/>
        </w:rPr>
        <w:t>GROUP BREAKDOWN</w:t>
      </w:r>
    </w:p>
    <w:p>
      <w:pPr>
        <w:spacing w:before="200" w:after="80"/>
      </w:pPr>
      <w:r>
        <w:rPr>
          <w:b/>
          <w:color w:val="1A1D27"/>
          <w:sz w:val="24"/>
        </w:rPr>
        <w:t>FACILITATORS</w:t>
      </w:r>
    </w:p>
    <w:p>
      <w:pPr>
        <w:spacing w:after="120"/>
      </w:pPr>
      <w:r>
        <w:rPr>
          <w:color w:val="E8722A"/>
          <w:sz w:val="20"/>
        </w:rPr>
        <w:t>20 codes  |  80% of total  |  3 themes</w:t>
      </w:r>
    </w:p>
    <w:p>
      <w:pPr>
        <w:spacing w:after="160" w:before="40"/>
      </w:pPr>
      <w:r>
        <w:rPr>
          <w:sz w:val="22"/>
        </w:rPr>
        <w:t>Facilitators in the healthcare system play a crucial role in enhancing patient experience through effective communication, empowering patients with knowledge and awareness about their treatment options. By fostering a supportive environment, facilitators enable patients to engage actively in their care, leading to improved health outcomes. This is exemplified when healthcare providers take the time to clearly explain diagnoses, treatments, and self-management strategies, thereby promoting informed decision-making.</w:t>
      </w:r>
    </w:p>
    <w:tbl>
      <w:tblPr>
        <w:tblStyle w:val="TableGrid"/>
        <w:tblW w:type="auto" w:w="0"/>
        <w:tblLook w:firstColumn="1" w:firstRow="1" w:lastColumn="0" w:lastRow="0" w:noHBand="0" w:noVBand="1" w:val="04A0"/>
      </w:tblPr>
      <w:tblGrid>
        <w:gridCol w:w="4533"/>
        <w:gridCol w:w="4533"/>
      </w:tblGrid>
      <w:tr>
        <w:tc>
          <w:tcPr>
            <w:tcW w:type="dxa" w:w="4533"/>
            <w:shd w:fill="1C2030" w:val="clear"/>
          </w:tcPr>
          <w:p>
            <w:pPr>
              <w:jc w:val="center"/>
            </w:pPr>
            <w:r>
              <w:rPr>
                <w:b/>
                <w:color w:val="EEEAE2"/>
                <w:sz w:val="20"/>
              </w:rPr>
              <w:t>Theme</w:t>
            </w:r>
          </w:p>
        </w:tc>
        <w:tc>
          <w:tcPr>
            <w:tcW w:type="dxa" w:w="4533"/>
            <w:shd w:fill="1C2030" w:val="clear"/>
          </w:tcPr>
          <w:p>
            <w:pPr>
              <w:jc w:val="center"/>
            </w:pPr>
            <w:r>
              <w:rPr>
                <w:b/>
                <w:color w:val="EEEAE2"/>
                <w:sz w:val="20"/>
              </w:rPr>
              <w:t>Code Count</w:t>
            </w:r>
          </w:p>
        </w:tc>
      </w:tr>
      <w:tr>
        <w:tc>
          <w:tcPr>
            <w:tcW w:type="dxa" w:w="4533"/>
            <w:shd w:fill="F5F0E8" w:val="clear"/>
          </w:tcPr>
          <w:p>
            <w:pPr>
              <w:jc w:val="center"/>
            </w:pPr>
            <w:r>
              <w:rPr>
                <w:sz w:val="20"/>
              </w:rPr>
              <w:t>HEALTHCARE SYSTEM EXPERIENCE</w:t>
            </w:r>
          </w:p>
        </w:tc>
        <w:tc>
          <w:tcPr>
            <w:tcW w:type="dxa" w:w="4533"/>
            <w:shd w:fill="F5F0E8" w:val="clear"/>
          </w:tcPr>
          <w:p>
            <w:pPr>
              <w:jc w:val="center"/>
            </w:pPr>
            <w:r>
              <w:rPr>
                <w:sz w:val="20"/>
              </w:rPr>
              <w:t>10</w:t>
            </w:r>
          </w:p>
        </w:tc>
      </w:tr>
      <w:tr>
        <w:tc>
          <w:tcPr>
            <w:tcW w:type="dxa" w:w="4533"/>
          </w:tcPr>
          <w:p>
            <w:pPr>
              <w:jc w:val="center"/>
            </w:pPr>
            <w:r>
              <w:rPr>
                <w:sz w:val="20"/>
              </w:rPr>
              <w:t>PATIENT KNOWLEDGE &amp; AWARENESS</w:t>
            </w:r>
          </w:p>
        </w:tc>
        <w:tc>
          <w:tcPr>
            <w:tcW w:type="dxa" w:w="4533"/>
          </w:tcPr>
          <w:p>
            <w:pPr>
              <w:jc w:val="center"/>
            </w:pPr>
            <w:r>
              <w:rPr>
                <w:sz w:val="20"/>
              </w:rPr>
              <w:t>6</w:t>
            </w:r>
          </w:p>
        </w:tc>
      </w:tr>
      <w:tr>
        <w:tc>
          <w:tcPr>
            <w:tcW w:type="dxa" w:w="4533"/>
            <w:shd w:fill="F5F0E8" w:val="clear"/>
          </w:tcPr>
          <w:p>
            <w:pPr>
              <w:jc w:val="center"/>
            </w:pPr>
            <w:r>
              <w:rPr>
                <w:sz w:val="20"/>
              </w:rPr>
              <w:t>TREATMENT ENGAGEMENT</w:t>
            </w:r>
          </w:p>
        </w:tc>
        <w:tc>
          <w:tcPr>
            <w:tcW w:type="dxa" w:w="4533"/>
            <w:shd w:fill="F5F0E8" w:val="clear"/>
          </w:tcPr>
          <w:p>
            <w:pPr>
              <w:jc w:val="center"/>
            </w:pPr>
            <w:r>
              <w:rPr>
                <w:sz w:val="20"/>
              </w:rPr>
              <w:t>4</w:t>
            </w:r>
          </w:p>
        </w:tc>
      </w:tr>
    </w:tbl>
    <w:p/>
    <w:p>
      <w:r>
        <w:rPr>
          <w:b/>
        </w:rPr>
        <w:t>Representative Quotes:</w:t>
      </w:r>
    </w:p>
    <w:p>
      <w:pPr>
        <w:spacing w:before="80" w:after="40"/>
        <w:ind w:left="576"/>
      </w:pPr>
      <w:r>
        <w:rPr>
          <w:i/>
          <w:color w:val="555566"/>
          <w:sz w:val="20"/>
        </w:rPr>
        <w:t>"My doctor spent a lot time with me, explained everything step by step, and gave me a clear plan."</w:t>
      </w:r>
    </w:p>
    <w:p>
      <w:pPr>
        <w:spacing w:after="120"/>
        <w:ind w:left="576"/>
      </w:pPr>
      <w:r>
        <w:rPr>
          <w:color w:val="E8722A"/>
          <w:sz w:val="18"/>
        </w:rPr>
        <w:t>— Theme: HEALTHCARE SYSTEM EXPERIENCE</w:t>
      </w:r>
    </w:p>
    <w:p>
      <w:pPr>
        <w:spacing w:before="80" w:after="40"/>
        <w:ind w:left="576"/>
      </w:pPr>
      <w:r>
        <w:rPr>
          <w:i/>
          <w:color w:val="555566"/>
          <w:sz w:val="20"/>
        </w:rPr>
        <w:t>"Every new diabetic patient should get eye education from day one"</w:t>
      </w:r>
    </w:p>
    <w:p>
      <w:pPr>
        <w:spacing w:after="120"/>
        <w:ind w:left="576"/>
      </w:pPr>
      <w:r>
        <w:rPr>
          <w:color w:val="E8722A"/>
          <w:sz w:val="18"/>
        </w:rPr>
        <w:t>— Theme: PATIENT KNOWLEDGE &amp; AWARENESS</w:t>
      </w:r>
    </w:p>
    <w:p>
      <w:pPr>
        <w:spacing w:before="200" w:after="80"/>
      </w:pPr>
      <w:r>
        <w:rPr>
          <w:b/>
          <w:color w:val="1A1D27"/>
          <w:sz w:val="24"/>
        </w:rPr>
        <w:t>BARRIERS - Healthcare System</w:t>
      </w:r>
    </w:p>
    <w:p>
      <w:pPr>
        <w:spacing w:after="120"/>
      </w:pPr>
      <w:r>
        <w:rPr>
          <w:color w:val="E8722A"/>
          <w:sz w:val="20"/>
        </w:rPr>
        <w:t>3 codes  |  12% of total  |  2 themes</w:t>
      </w:r>
    </w:p>
    <w:p>
      <w:pPr>
        <w:spacing w:after="160" w:before="40"/>
      </w:pPr>
      <w:r>
        <w:rPr>
          <w:sz w:val="22"/>
        </w:rPr>
        <w:t>Patients often encounter significant barriers within the healthcare system, including lengthy waiting times and limited access to specialized care. These obstacles can hinder timely diagnosis and treatment, as evidenced by prolonged wait periods for initial appointments, such as a three-month delay following a referral. Furthermore, inadequate patient education and awareness of available services exacerbate these systemic issues.</w:t>
      </w:r>
    </w:p>
    <w:tbl>
      <w:tblPr>
        <w:tblStyle w:val="TableGrid"/>
        <w:tblW w:type="auto" w:w="0"/>
        <w:tblLook w:firstColumn="1" w:firstRow="1" w:lastColumn="0" w:lastRow="0" w:noHBand="0" w:noVBand="1" w:val="04A0"/>
      </w:tblPr>
      <w:tblGrid>
        <w:gridCol w:w="4533"/>
        <w:gridCol w:w="4533"/>
      </w:tblGrid>
      <w:tr>
        <w:tc>
          <w:tcPr>
            <w:tcW w:type="dxa" w:w="4533"/>
            <w:shd w:fill="1C2030" w:val="clear"/>
          </w:tcPr>
          <w:p>
            <w:pPr>
              <w:jc w:val="center"/>
            </w:pPr>
            <w:r>
              <w:rPr>
                <w:b/>
                <w:color w:val="EEEAE2"/>
                <w:sz w:val="20"/>
              </w:rPr>
              <w:t>Theme</w:t>
            </w:r>
          </w:p>
        </w:tc>
        <w:tc>
          <w:tcPr>
            <w:tcW w:type="dxa" w:w="4533"/>
            <w:shd w:fill="1C2030" w:val="clear"/>
          </w:tcPr>
          <w:p>
            <w:pPr>
              <w:jc w:val="center"/>
            </w:pPr>
            <w:r>
              <w:rPr>
                <w:b/>
                <w:color w:val="EEEAE2"/>
                <w:sz w:val="20"/>
              </w:rPr>
              <w:t>Code Count</w:t>
            </w:r>
          </w:p>
        </w:tc>
      </w:tr>
      <w:tr>
        <w:tc>
          <w:tcPr>
            <w:tcW w:type="dxa" w:w="4533"/>
            <w:shd w:fill="F5F0E8" w:val="clear"/>
          </w:tcPr>
          <w:p>
            <w:pPr>
              <w:jc w:val="center"/>
            </w:pPr>
            <w:r>
              <w:rPr>
                <w:sz w:val="20"/>
              </w:rPr>
              <w:t>HEALTHCARE SYSTEM EXPERIENCE</w:t>
            </w:r>
          </w:p>
        </w:tc>
        <w:tc>
          <w:tcPr>
            <w:tcW w:type="dxa" w:w="4533"/>
            <w:shd w:fill="F5F0E8" w:val="clear"/>
          </w:tcPr>
          <w:p>
            <w:pPr>
              <w:jc w:val="center"/>
            </w:pPr>
            <w:r>
              <w:rPr>
                <w:sz w:val="20"/>
              </w:rPr>
              <w:t>2</w:t>
            </w:r>
          </w:p>
        </w:tc>
      </w:tr>
      <w:tr>
        <w:tc>
          <w:tcPr>
            <w:tcW w:type="dxa" w:w="4533"/>
          </w:tcPr>
          <w:p>
            <w:pPr>
              <w:jc w:val="center"/>
            </w:pPr>
            <w:r>
              <w:rPr>
                <w:sz w:val="20"/>
              </w:rPr>
              <w:t>PATIENT KNOWLEDGE &amp; AWARENESS</w:t>
            </w:r>
          </w:p>
        </w:tc>
        <w:tc>
          <w:tcPr>
            <w:tcW w:type="dxa" w:w="4533"/>
          </w:tcPr>
          <w:p>
            <w:pPr>
              <w:jc w:val="center"/>
            </w:pPr>
            <w:r>
              <w:rPr>
                <w:sz w:val="20"/>
              </w:rPr>
              <w:t>1</w:t>
            </w:r>
          </w:p>
        </w:tc>
      </w:tr>
    </w:tbl>
    <w:p/>
    <w:p>
      <w:r>
        <w:rPr>
          <w:b/>
        </w:rPr>
        <w:t>Representative Quotes:</w:t>
      </w:r>
    </w:p>
    <w:p>
      <w:pPr>
        <w:spacing w:before="80" w:after="40"/>
        <w:ind w:left="576"/>
      </w:pPr>
      <w:r>
        <w:rPr>
          <w:i/>
          <w:color w:val="555566"/>
          <w:sz w:val="20"/>
        </w:rPr>
        <w:t>"The waiting times are terrible. My first retina appointment was three months after the referral."</w:t>
      </w:r>
    </w:p>
    <w:p>
      <w:pPr>
        <w:spacing w:after="120"/>
        <w:ind w:left="576"/>
      </w:pPr>
      <w:r>
        <w:rPr>
          <w:color w:val="E8722A"/>
          <w:sz w:val="18"/>
        </w:rPr>
        <w:t>— Theme: HEALTHCARE SYSTEM EXPERIENCE</w:t>
      </w:r>
    </w:p>
    <w:p>
      <w:pPr>
        <w:spacing w:before="80" w:after="40"/>
        <w:ind w:left="576"/>
      </w:pPr>
      <w:r>
        <w:rPr>
          <w:i/>
          <w:color w:val="555566"/>
          <w:sz w:val="20"/>
        </w:rPr>
        <w:t>"The waiting times are terrible. My first retina appointment was three months after the referral."</w:t>
      </w:r>
    </w:p>
    <w:p>
      <w:pPr>
        <w:spacing w:after="120"/>
        <w:ind w:left="576"/>
      </w:pPr>
      <w:r>
        <w:rPr>
          <w:color w:val="E8722A"/>
          <w:sz w:val="18"/>
        </w:rPr>
        <w:t>— Theme: HEALTHCARE SYSTEM EXPERIENCE</w:t>
      </w:r>
    </w:p>
    <w:p>
      <w:pPr>
        <w:spacing w:before="200" w:after="80"/>
      </w:pPr>
      <w:r>
        <w:rPr>
          <w:b/>
          <w:color w:val="1A1D27"/>
          <w:sz w:val="24"/>
        </w:rPr>
        <w:t>BARRIERS - Financial &amp; Access</w:t>
      </w:r>
    </w:p>
    <w:p>
      <w:pPr>
        <w:spacing w:after="120"/>
      </w:pPr>
      <w:r>
        <w:rPr>
          <w:color w:val="E8722A"/>
          <w:sz w:val="20"/>
        </w:rPr>
        <w:t>1 codes  |  4% of total  |  1 themes</w:t>
      </w:r>
    </w:p>
    <w:p>
      <w:pPr>
        <w:spacing w:after="160" w:before="40"/>
      </w:pPr>
      <w:r>
        <w:rPr>
          <w:sz w:val="22"/>
        </w:rPr>
        <w:t>Patients often encounter financial barriers when accessing healthcare services, with out-of-pocket expenses for specialized tests and treatments posing a significant burden. For instance, additional costs for advanced diagnostic procedures can be prohibitively expensive, limiting access to necessary care. These financial constraints can exacerbate existing health disparities, highlighting the need for more equitable and affordable healthcare systems.</w:t>
      </w:r>
    </w:p>
    <w:tbl>
      <w:tblPr>
        <w:tblStyle w:val="TableGrid"/>
        <w:tblW w:type="auto" w:w="0"/>
        <w:tblLook w:firstColumn="1" w:firstRow="1" w:lastColumn="0" w:lastRow="0" w:noHBand="0" w:noVBand="1" w:val="04A0"/>
      </w:tblPr>
      <w:tblGrid>
        <w:gridCol w:w="4533"/>
        <w:gridCol w:w="4533"/>
      </w:tblGrid>
      <w:tr>
        <w:tc>
          <w:tcPr>
            <w:tcW w:type="dxa" w:w="4533"/>
            <w:shd w:fill="1C2030" w:val="clear"/>
          </w:tcPr>
          <w:p>
            <w:pPr>
              <w:jc w:val="center"/>
            </w:pPr>
            <w:r>
              <w:rPr>
                <w:b/>
                <w:color w:val="EEEAE2"/>
                <w:sz w:val="20"/>
              </w:rPr>
              <w:t>Theme</w:t>
            </w:r>
          </w:p>
        </w:tc>
        <w:tc>
          <w:tcPr>
            <w:tcW w:type="dxa" w:w="4533"/>
            <w:shd w:fill="1C2030" w:val="clear"/>
          </w:tcPr>
          <w:p>
            <w:pPr>
              <w:jc w:val="center"/>
            </w:pPr>
            <w:r>
              <w:rPr>
                <w:b/>
                <w:color w:val="EEEAE2"/>
                <w:sz w:val="20"/>
              </w:rPr>
              <w:t>Code Count</w:t>
            </w:r>
          </w:p>
        </w:tc>
      </w:tr>
      <w:tr>
        <w:tc>
          <w:tcPr>
            <w:tcW w:type="dxa" w:w="4533"/>
            <w:shd w:fill="F5F0E8" w:val="clear"/>
          </w:tcPr>
          <w:p>
            <w:pPr>
              <w:jc w:val="center"/>
            </w:pPr>
            <w:r>
              <w:rPr>
                <w:sz w:val="20"/>
              </w:rPr>
              <w:t>HEALTHCARE SYSTEM EXPERIENCE</w:t>
            </w:r>
          </w:p>
        </w:tc>
        <w:tc>
          <w:tcPr>
            <w:tcW w:type="dxa" w:w="4533"/>
            <w:shd w:fill="F5F0E8" w:val="clear"/>
          </w:tcPr>
          <w:p>
            <w:pPr>
              <w:jc w:val="center"/>
            </w:pPr>
            <w:r>
              <w:rPr>
                <w:sz w:val="20"/>
              </w:rPr>
              <w:t>1</w:t>
            </w:r>
          </w:p>
        </w:tc>
      </w:tr>
    </w:tbl>
    <w:p/>
    <w:p>
      <w:r>
        <w:rPr>
          <w:b/>
        </w:rPr>
        <w:t>Representative Quotes:</w:t>
      </w:r>
    </w:p>
    <w:p>
      <w:pPr>
        <w:spacing w:before="80" w:after="40"/>
        <w:ind w:left="576"/>
      </w:pPr>
      <w:r>
        <w:rPr>
          <w:i/>
          <w:color w:val="555566"/>
          <w:sz w:val="20"/>
        </w:rPr>
        <w:t>"But the special retina imaging costs extra and I had to pay out of pocket last time - about 180 dollars."</w:t>
      </w:r>
    </w:p>
    <w:p>
      <w:pPr>
        <w:spacing w:after="120"/>
        <w:ind w:left="576"/>
      </w:pPr>
      <w:r>
        <w:rPr>
          <w:color w:val="E8722A"/>
          <w:sz w:val="18"/>
        </w:rPr>
        <w:t>— Theme: HEALTHCARE SYSTEM EXPERIENCE</w:t>
      </w:r>
    </w:p>
    <w:p>
      <w:pPr>
        <w:spacing w:before="200" w:after="80"/>
      </w:pPr>
      <w:r>
        <w:rPr>
          <w:b/>
          <w:color w:val="1A1D27"/>
          <w:sz w:val="24"/>
        </w:rPr>
        <w:t>BARRIERS - Beliefs &amp; Perceptions</w:t>
      </w:r>
    </w:p>
    <w:p>
      <w:pPr>
        <w:spacing w:after="120"/>
      </w:pPr>
      <w:r>
        <w:rPr>
          <w:color w:val="E8722A"/>
          <w:sz w:val="20"/>
        </w:rPr>
        <w:t>1 codes  |  4% of total  |  1 themes</w:t>
      </w:r>
    </w:p>
    <w:p>
      <w:pPr>
        <w:spacing w:after="160" w:before="40"/>
      </w:pPr>
      <w:r>
        <w:rPr>
          <w:sz w:val="22"/>
        </w:rPr>
        <w:t>The "BARRIERS - Beliefs &amp; Perceptions" group highlights how patients' limited knowledge and awareness of available resources can hinder their ability to access necessary care, with some individuals relying on chance encounters with information online. This lack of awareness is a significant obstacle, as exemplified by patients who report discovering crucial information "by accident" while reading online. Such instances underscore the need for improved patient education and awareness initiatives.</w:t>
      </w:r>
    </w:p>
    <w:tbl>
      <w:tblPr>
        <w:tblStyle w:val="TableGrid"/>
        <w:tblW w:type="auto" w:w="0"/>
        <w:tblLook w:firstColumn="1" w:firstRow="1" w:lastColumn="0" w:lastRow="0" w:noHBand="0" w:noVBand="1" w:val="04A0"/>
      </w:tblPr>
      <w:tblGrid>
        <w:gridCol w:w="4533"/>
        <w:gridCol w:w="4533"/>
      </w:tblGrid>
      <w:tr>
        <w:tc>
          <w:tcPr>
            <w:tcW w:type="dxa" w:w="4533"/>
            <w:shd w:fill="1C2030" w:val="clear"/>
          </w:tcPr>
          <w:p>
            <w:pPr>
              <w:jc w:val="center"/>
            </w:pPr>
            <w:r>
              <w:rPr>
                <w:b/>
                <w:color w:val="EEEAE2"/>
                <w:sz w:val="20"/>
              </w:rPr>
              <w:t>Theme</w:t>
            </w:r>
          </w:p>
        </w:tc>
        <w:tc>
          <w:tcPr>
            <w:tcW w:type="dxa" w:w="4533"/>
            <w:shd w:fill="1C2030" w:val="clear"/>
          </w:tcPr>
          <w:p>
            <w:pPr>
              <w:jc w:val="center"/>
            </w:pPr>
            <w:r>
              <w:rPr>
                <w:b/>
                <w:color w:val="EEEAE2"/>
                <w:sz w:val="20"/>
              </w:rPr>
              <w:t>Code Count</w:t>
            </w:r>
          </w:p>
        </w:tc>
      </w:tr>
      <w:tr>
        <w:tc>
          <w:tcPr>
            <w:tcW w:type="dxa" w:w="4533"/>
            <w:shd w:fill="F5F0E8" w:val="clear"/>
          </w:tcPr>
          <w:p>
            <w:pPr>
              <w:jc w:val="center"/>
            </w:pPr>
            <w:r>
              <w:rPr>
                <w:sz w:val="20"/>
              </w:rPr>
              <w:t>PATIENT KNOWLEDGE &amp; AWARENESS</w:t>
            </w:r>
          </w:p>
        </w:tc>
        <w:tc>
          <w:tcPr>
            <w:tcW w:type="dxa" w:w="4533"/>
            <w:shd w:fill="F5F0E8" w:val="clear"/>
          </w:tcPr>
          <w:p>
            <w:pPr>
              <w:jc w:val="center"/>
            </w:pPr>
            <w:r>
              <w:rPr>
                <w:sz w:val="20"/>
              </w:rPr>
              <w:t>1</w:t>
            </w:r>
          </w:p>
        </w:tc>
      </w:tr>
    </w:tbl>
    <w:p/>
    <w:p>
      <w:r>
        <w:rPr>
          <w:b/>
        </w:rPr>
        <w:t>Representative Quotes:</w:t>
      </w:r>
    </w:p>
    <w:p>
      <w:pPr>
        <w:spacing w:before="80" w:after="40"/>
        <w:ind w:left="576"/>
      </w:pPr>
      <w:r>
        <w:rPr>
          <w:i/>
          <w:color w:val="555566"/>
          <w:sz w:val="20"/>
        </w:rPr>
        <w:t>"I only found out by accident reading online"</w:t>
      </w:r>
    </w:p>
    <w:p>
      <w:pPr>
        <w:spacing w:after="120"/>
        <w:ind w:left="576"/>
      </w:pPr>
      <w:r>
        <w:rPr>
          <w:color w:val="E8722A"/>
          <w:sz w:val="18"/>
        </w:rPr>
        <w:t>— Theme: PATIENT KNOWLEDGE &amp; AWARENESS</w:t>
      </w:r>
    </w:p>
    <w:p>
      <w:pPr>
        <w:spacing w:before="320" w:after="120"/>
        <w:pBdr>
          <w:bottom w:val="single" w:sz="6" w:space="4" w:color="E8722A"/>
        </w:pBdr>
      </w:pPr>
      <w:r>
        <w:rPr>
          <w:b/>
          <w:color w:val="1A1D27"/>
          <w:sz w:val="28"/>
        </w:rPr>
        <w:t>CODING FRAMEWORK</w:t>
      </w:r>
    </w:p>
    <w:p>
      <w:pPr>
        <w:spacing w:after="160" w:before="40"/>
      </w:pPr>
      <w:r>
        <w:rPr>
          <w:sz w:val="22"/>
        </w:rPr>
        <w:t>The following framework was defined by the client and used for deductive coding:</w:t>
      </w:r>
    </w:p>
    <w:p>
      <w:pPr>
        <w:spacing w:before="160"/>
      </w:pPr>
      <w:r>
        <w:rPr>
          <w:b/>
          <w:sz w:val="22"/>
        </w:rPr>
        <w:t>TREATMENT ENGAGEMENT</w:t>
      </w:r>
    </w:p>
    <w:p>
      <w:r>
        <w:rPr>
          <w:sz w:val="20"/>
        </w:rPr>
        <w:t>How actively the patient participates in treatment</w:t>
      </w:r>
    </w:p>
    <w:p>
      <w:pPr>
        <w:pStyle w:val="ListBullet"/>
      </w:pPr>
      <w:r>
        <w:rPr>
          <w:sz w:val="20"/>
        </w:rPr>
        <w:t>Medication Adherence</w:t>
      </w:r>
    </w:p>
    <w:p>
      <w:pPr>
        <w:pStyle w:val="ListBullet"/>
      </w:pPr>
      <w:r>
        <w:rPr>
          <w:sz w:val="20"/>
        </w:rPr>
        <w:t>Eye Exam Compliance,</w:t>
      </w:r>
    </w:p>
    <w:p>
      <w:pPr>
        <w:pStyle w:val="ListBullet"/>
      </w:pPr>
      <w:r>
        <w:rPr>
          <w:sz w:val="20"/>
        </w:rPr>
        <w:t>specialist Visit Attendance</w:t>
      </w:r>
    </w:p>
    <w:p>
      <w:pPr>
        <w:pStyle w:val="ListBullet"/>
      </w:pPr>
      <w:r>
        <w:rPr>
          <w:sz w:val="20"/>
        </w:rPr>
        <w:t>Self-Monitoring</w:t>
      </w:r>
    </w:p>
    <w:p>
      <w:pPr>
        <w:spacing w:before="160"/>
      </w:pPr>
      <w:r>
        <w:rPr>
          <w:b/>
          <w:sz w:val="22"/>
        </w:rPr>
        <w:t>PATIENT KNOWLEDGE &amp; AWARENESS</w:t>
      </w:r>
    </w:p>
    <w:p>
      <w:r>
        <w:rPr>
          <w:sz w:val="20"/>
        </w:rPr>
        <w:t>What the patient understands about their condition</w:t>
      </w:r>
    </w:p>
    <w:p>
      <w:pPr>
        <w:pStyle w:val="ListBullet"/>
      </w:pPr>
      <w:r>
        <w:rPr>
          <w:sz w:val="20"/>
        </w:rPr>
        <w:t>Diabetes Eye Link Awareness,</w:t>
      </w:r>
    </w:p>
    <w:p>
      <w:pPr>
        <w:pStyle w:val="ListBullet"/>
      </w:pPr>
      <w:r>
        <w:rPr>
          <w:sz w:val="20"/>
        </w:rPr>
        <w:t>Dietary Knowledge</w:t>
      </w:r>
    </w:p>
    <w:p>
      <w:pPr>
        <w:pStyle w:val="ListBullet"/>
      </w:pPr>
      <w:r>
        <w:rPr>
          <w:sz w:val="20"/>
        </w:rPr>
        <w:t>Supplement Awareness</w:t>
      </w:r>
    </w:p>
    <w:p>
      <w:pPr>
        <w:pStyle w:val="ListBullet"/>
      </w:pPr>
      <w:r>
        <w:rPr>
          <w:sz w:val="20"/>
        </w:rPr>
        <w:t>Diagnosis Understanding</w:t>
      </w:r>
    </w:p>
    <w:p>
      <w:pPr>
        <w:spacing w:before="160"/>
      </w:pPr>
      <w:r>
        <w:rPr>
          <w:b/>
          <w:sz w:val="22"/>
        </w:rPr>
        <w:t>HEALTHCARE SYSTEM EXPERIENCE</w:t>
      </w:r>
    </w:p>
    <w:p>
      <w:r>
        <w:rPr>
          <w:sz w:val="20"/>
        </w:rPr>
        <w:t>People and programmes that help the patient</w:t>
      </w:r>
    </w:p>
    <w:p>
      <w:pPr>
        <w:pStyle w:val="ListBullet"/>
      </w:pPr>
      <w:r>
        <w:rPr>
          <w:sz w:val="20"/>
        </w:rPr>
        <w:t>Family Support</w:t>
      </w:r>
    </w:p>
    <w:p>
      <w:pPr>
        <w:pStyle w:val="ListBullet"/>
      </w:pPr>
      <w:r>
        <w:rPr>
          <w:sz w:val="20"/>
        </w:rPr>
        <w:t>Diabetes Education Programme</w:t>
      </w:r>
    </w:p>
    <w:p>
      <w:pPr>
        <w:pStyle w:val="ListBullet"/>
      </w:pPr>
      <w:r>
        <w:rPr>
          <w:sz w:val="20"/>
        </w:rPr>
        <w:t>Positive Provider Relationship</w:t>
      </w:r>
    </w:p>
    <w:p>
      <w:pPr>
        <w:pStyle w:val="ListBullet"/>
      </w:pPr>
      <w:r>
        <w:rPr>
          <w:sz w:val="20"/>
        </w:rPr>
        <w:t>Community Resources</w:t>
      </w:r>
    </w:p>
    <w:p/>
    <w:p>
      <w:pPr>
        <w:spacing w:before="320" w:after="120"/>
        <w:pBdr>
          <w:bottom w:val="single" w:sz="6" w:space="4" w:color="E8722A"/>
        </w:pBdr>
      </w:pPr>
      <w:r>
        <w:rPr>
          <w:b/>
          <w:color w:val="1A1D27"/>
          <w:sz w:val="28"/>
        </w:rPr>
        <w:t>ACCURACY &amp; CONFIDENCE</w:t>
      </w:r>
    </w:p>
    <w:p>
      <w:pPr>
        <w:spacing w:after="160" w:before="40"/>
      </w:pPr>
      <w:r>
        <w:rPr>
          <w:sz w:val="22"/>
        </w:rPr>
        <w:t>The pipeline achieved an overall estimated accuracy of 100.0% based on LLM confidence scores. High confidence codes (25) are considered reliable. Medium confidence codes (0) should be reviewed. Low confidence codes (0) are flagged for manual validation.</w:t>
      </w:r>
    </w:p>
    <w:tbl>
      <w:tblPr>
        <w:tblStyle w:val="TableGrid"/>
        <w:tblW w:type="auto" w:w="0"/>
        <w:tblLook w:firstColumn="1" w:firstRow="1" w:lastColumn="0" w:lastRow="0" w:noHBand="0" w:noVBand="1" w:val="04A0"/>
      </w:tblPr>
      <w:tblGrid>
        <w:gridCol w:w="2266"/>
        <w:gridCol w:w="2266"/>
        <w:gridCol w:w="2266"/>
        <w:gridCol w:w="2266"/>
      </w:tblGrid>
      <w:tr>
        <w:tc>
          <w:tcPr>
            <w:tcW w:type="dxa" w:w="2266"/>
            <w:shd w:fill="1C2030" w:val="clear"/>
          </w:tcPr>
          <w:p>
            <w:pPr>
              <w:jc w:val="center"/>
            </w:pPr>
            <w:r>
              <w:rPr>
                <w:b/>
                <w:color w:val="EEEAE2"/>
                <w:sz w:val="20"/>
              </w:rPr>
              <w:t>Confidence Level</w:t>
            </w:r>
          </w:p>
        </w:tc>
        <w:tc>
          <w:tcPr>
            <w:tcW w:type="dxa" w:w="2266"/>
            <w:shd w:fill="1C2030" w:val="clear"/>
          </w:tcPr>
          <w:p>
            <w:pPr>
              <w:jc w:val="center"/>
            </w:pPr>
            <w:r>
              <w:rPr>
                <w:b/>
                <w:color w:val="EEEAE2"/>
                <w:sz w:val="20"/>
              </w:rPr>
              <w:t>Count</w:t>
            </w:r>
          </w:p>
        </w:tc>
        <w:tc>
          <w:tcPr>
            <w:tcW w:type="dxa" w:w="2266"/>
            <w:shd w:fill="1C2030" w:val="clear"/>
          </w:tcPr>
          <w:p>
            <w:pPr>
              <w:jc w:val="center"/>
            </w:pPr>
            <w:r>
              <w:rPr>
                <w:b/>
                <w:color w:val="EEEAE2"/>
                <w:sz w:val="20"/>
              </w:rPr>
              <w:t>% of Total</w:t>
            </w:r>
          </w:p>
        </w:tc>
        <w:tc>
          <w:tcPr>
            <w:tcW w:type="dxa" w:w="2266"/>
            <w:shd w:fill="1C2030" w:val="clear"/>
          </w:tcPr>
          <w:p>
            <w:pPr>
              <w:jc w:val="center"/>
            </w:pPr>
            <w:r>
              <w:rPr>
                <w:b/>
                <w:color w:val="EEEAE2"/>
                <w:sz w:val="20"/>
              </w:rPr>
              <w:t>Score</w:t>
            </w:r>
          </w:p>
        </w:tc>
      </w:tr>
      <w:tr>
        <w:tc>
          <w:tcPr>
            <w:tcW w:type="dxa" w:w="2266"/>
            <w:shd w:fill="F5F0E8" w:val="clear"/>
          </w:tcPr>
          <w:p>
            <w:pPr>
              <w:jc w:val="center"/>
            </w:pPr>
            <w:r>
              <w:rPr>
                <w:sz w:val="20"/>
              </w:rPr>
              <w:t>High</w:t>
            </w:r>
          </w:p>
        </w:tc>
        <w:tc>
          <w:tcPr>
            <w:tcW w:type="dxa" w:w="2266"/>
            <w:shd w:fill="F5F0E8" w:val="clear"/>
          </w:tcPr>
          <w:p>
            <w:pPr>
              <w:jc w:val="center"/>
            </w:pPr>
            <w:r>
              <w:rPr>
                <w:sz w:val="20"/>
              </w:rPr>
              <w:t>25</w:t>
            </w:r>
          </w:p>
        </w:tc>
        <w:tc>
          <w:tcPr>
            <w:tcW w:type="dxa" w:w="2266"/>
            <w:shd w:fill="F5F0E8" w:val="clear"/>
          </w:tcPr>
          <w:p>
            <w:pPr>
              <w:jc w:val="center"/>
            </w:pPr>
            <w:r>
              <w:rPr>
                <w:sz w:val="20"/>
              </w:rPr>
              <w:t>100%</w:t>
            </w:r>
          </w:p>
        </w:tc>
        <w:tc>
          <w:tcPr>
            <w:tcW w:type="dxa" w:w="2266"/>
            <w:shd w:fill="F5F0E8" w:val="clear"/>
          </w:tcPr>
          <w:p>
            <w:pPr>
              <w:jc w:val="center"/>
            </w:pPr>
            <w:r>
              <w:rPr>
                <w:sz w:val="20"/>
              </w:rPr>
              <w:t>1.0</w:t>
            </w:r>
          </w:p>
        </w:tc>
      </w:tr>
      <w:tr>
        <w:tc>
          <w:tcPr>
            <w:tcW w:type="dxa" w:w="2266"/>
          </w:tcPr>
          <w:p>
            <w:pPr>
              <w:jc w:val="center"/>
            </w:pPr>
            <w:r>
              <w:rPr>
                <w:sz w:val="20"/>
              </w:rPr>
              <w:t>Medium</w:t>
            </w:r>
          </w:p>
        </w:tc>
        <w:tc>
          <w:tcPr>
            <w:tcW w:type="dxa" w:w="2266"/>
          </w:tcPr>
          <w:p>
            <w:pPr>
              <w:jc w:val="center"/>
            </w:pPr>
            <w:r>
              <w:rPr>
                <w:sz w:val="20"/>
              </w:rPr>
              <w:t>0</w:t>
            </w:r>
          </w:p>
        </w:tc>
        <w:tc>
          <w:tcPr>
            <w:tcW w:type="dxa" w:w="2266"/>
          </w:tcPr>
          <w:p>
            <w:pPr>
              <w:jc w:val="center"/>
            </w:pPr>
            <w:r>
              <w:rPr>
                <w:sz w:val="20"/>
              </w:rPr>
              <w:t>0%</w:t>
            </w:r>
          </w:p>
        </w:tc>
        <w:tc>
          <w:tcPr>
            <w:tcW w:type="dxa" w:w="2266"/>
          </w:tcPr>
          <w:p>
            <w:pPr>
              <w:jc w:val="center"/>
            </w:pPr>
            <w:r>
              <w:rPr>
                <w:sz w:val="20"/>
              </w:rPr>
              <w:t>0.6</w:t>
            </w:r>
          </w:p>
        </w:tc>
      </w:tr>
      <w:tr>
        <w:tc>
          <w:tcPr>
            <w:tcW w:type="dxa" w:w="2266"/>
            <w:shd w:fill="F5F0E8" w:val="clear"/>
          </w:tcPr>
          <w:p>
            <w:pPr>
              <w:jc w:val="center"/>
            </w:pPr>
            <w:r>
              <w:rPr>
                <w:sz w:val="20"/>
              </w:rPr>
              <w:t>Low</w:t>
            </w:r>
          </w:p>
        </w:tc>
        <w:tc>
          <w:tcPr>
            <w:tcW w:type="dxa" w:w="2266"/>
            <w:shd w:fill="F5F0E8" w:val="clear"/>
          </w:tcPr>
          <w:p>
            <w:pPr>
              <w:jc w:val="center"/>
            </w:pPr>
            <w:r>
              <w:rPr>
                <w:sz w:val="20"/>
              </w:rPr>
              <w:t>0</w:t>
            </w:r>
          </w:p>
        </w:tc>
        <w:tc>
          <w:tcPr>
            <w:tcW w:type="dxa" w:w="2266"/>
            <w:shd w:fill="F5F0E8" w:val="clear"/>
          </w:tcPr>
          <w:p>
            <w:pPr>
              <w:jc w:val="center"/>
            </w:pPr>
            <w:r>
              <w:rPr>
                <w:sz w:val="20"/>
              </w:rPr>
              <w:t>0%</w:t>
            </w:r>
          </w:p>
        </w:tc>
        <w:tc>
          <w:tcPr>
            <w:tcW w:type="dxa" w:w="2266"/>
            <w:shd w:fill="F5F0E8" w:val="clear"/>
          </w:tcPr>
          <w:p>
            <w:pPr>
              <w:jc w:val="center"/>
            </w:pPr>
            <w:r>
              <w:rPr>
                <w:sz w:val="20"/>
              </w:rPr>
              <w:t>0.2</w:t>
            </w:r>
          </w:p>
        </w:tc>
      </w:tr>
      <w:tr>
        <w:tc>
          <w:tcPr>
            <w:tcW w:type="dxa" w:w="2266"/>
          </w:tcPr>
          <w:p>
            <w:pPr>
              <w:jc w:val="center"/>
            </w:pPr>
            <w:r>
              <w:rPr>
                <w:sz w:val="20"/>
              </w:rPr>
              <w:t>Unknown</w:t>
            </w:r>
          </w:p>
        </w:tc>
        <w:tc>
          <w:tcPr>
            <w:tcW w:type="dxa" w:w="2266"/>
          </w:tcPr>
          <w:p>
            <w:pPr>
              <w:jc w:val="center"/>
            </w:pPr>
            <w:r>
              <w:rPr>
                <w:sz w:val="20"/>
              </w:rPr>
              <w:t>0</w:t>
            </w:r>
          </w:p>
        </w:tc>
        <w:tc>
          <w:tcPr>
            <w:tcW w:type="dxa" w:w="2266"/>
          </w:tcPr>
          <w:p>
            <w:pPr>
              <w:jc w:val="center"/>
            </w:pPr>
            <w:r>
              <w:rPr>
                <w:sz w:val="20"/>
              </w:rPr>
              <w:t>0%</w:t>
            </w:r>
          </w:p>
        </w:tc>
        <w:tc>
          <w:tcPr>
            <w:tcW w:type="dxa" w:w="2266"/>
          </w:tcPr>
          <w:p>
            <w:pPr>
              <w:jc w:val="center"/>
            </w:pPr>
            <w:r>
              <w:rPr>
                <w:sz w:val="20"/>
              </w:rPr>
              <w:t>0.5</w:t>
            </w:r>
          </w:p>
        </w:tc>
      </w:tr>
    </w:tbl>
    <w:p/>
    <w:p>
      <w:pPr>
        <w:spacing w:before="320" w:after="120"/>
        <w:pBdr>
          <w:bottom w:val="single" w:sz="6" w:space="4" w:color="E8722A"/>
        </w:pBdr>
      </w:pPr>
      <w:r>
        <w:rPr>
          <w:b/>
          <w:color w:val="1A1D27"/>
          <w:sz w:val="28"/>
        </w:rPr>
        <w:t>CONCLUSION</w:t>
      </w:r>
    </w:p>
    <w:p>
      <w:pPr>
        <w:spacing w:after="160" w:before="40"/>
      </w:pPr>
      <w:r>
        <w:rPr>
          <w:sz w:val="22"/>
        </w:rPr>
        <w:t>In conclusion, the TEST001 Eye Care Study revealed that facilitators play a significant role in promoting eye care, accounting for 80% of the coded responses. Conversely, barriers to eye care were relatively less prominent, with healthcare system, financial and access, and beliefs and perceptions-related barriers collectively accounting for 20% of the codes. The findings suggest that targeting facilitators and addressing these specific barriers can improve eye care outcomes. Overall, this study provides valuable insights into the factors influencing eye care, which can inform the development of effective interventions to enhance eye health.</w:t>
      </w:r>
    </w:p>
    <w:p>
      <w:r>
        <w:br w:type="page"/>
      </w:r>
    </w:p>
    <w:p>
      <w:pPr>
        <w:spacing w:before="320" w:after="120"/>
        <w:pBdr>
          <w:bottom w:val="single" w:sz="6" w:space="4" w:color="E8722A"/>
        </w:pBdr>
      </w:pPr>
      <w:r>
        <w:rPr>
          <w:b/>
          <w:color w:val="1A1D27"/>
          <w:sz w:val="28"/>
        </w:rPr>
        <w:t>APPENDIX: HIERARCHY OF CODES</w:t>
      </w:r>
    </w:p>
    <w:p>
      <w:pPr>
        <w:spacing w:before="200"/>
      </w:pPr>
      <w:r>
        <w:rPr>
          <w:b/>
          <w:sz w:val="22"/>
        </w:rPr>
        <w:t>FACILITATORS</w:t>
      </w:r>
    </w:p>
    <w:p>
      <w:pPr>
        <w:ind w:left="432"/>
      </w:pPr>
      <w:r>
        <w:rPr>
          <w:b/>
        </w:rPr>
        <w:t>HEALTHCARE SYSTEM EXPERIENCE</w:t>
      </w:r>
      <w:r>
        <w:rPr>
          <w:sz w:val="18"/>
        </w:rPr>
        <w:t xml:space="preserve">  (10 codes)</w:t>
      </w:r>
    </w:p>
    <w:p>
      <w:pPr>
        <w:spacing w:before="0" w:after="20"/>
        <w:ind w:left="1008"/>
      </w:pPr>
      <w:r>
        <w:rPr>
          <w:color w:val="555566"/>
          <w:sz w:val="18"/>
        </w:rPr>
        <w:t>• Positive Provider Relationship</w:t>
      </w:r>
    </w:p>
    <w:p>
      <w:pPr>
        <w:spacing w:before="0" w:after="20"/>
        <w:ind w:left="1008"/>
      </w:pPr>
      <w:r>
        <w:rPr>
          <w:color w:val="555566"/>
          <w:sz w:val="18"/>
        </w:rPr>
        <w:t>• Family Support</w:t>
      </w:r>
    </w:p>
    <w:p>
      <w:pPr>
        <w:spacing w:before="0" w:after="20"/>
        <w:ind w:left="1008"/>
      </w:pPr>
      <w:r>
        <w:rPr>
          <w:color w:val="555566"/>
          <w:sz w:val="18"/>
        </w:rPr>
        <w:t>• Diabetes Education Programme</w:t>
      </w:r>
    </w:p>
    <w:p>
      <w:pPr>
        <w:spacing w:before="0" w:after="20"/>
        <w:ind w:left="1008"/>
      </w:pPr>
      <w:r>
        <w:rPr>
          <w:color w:val="555566"/>
          <w:sz w:val="18"/>
        </w:rPr>
        <w:t>• Community Resources</w:t>
      </w:r>
    </w:p>
    <w:p>
      <w:pPr>
        <w:ind w:left="432"/>
      </w:pPr>
      <w:r>
        <w:rPr>
          <w:b/>
        </w:rPr>
        <w:t>PATIENT KNOWLEDGE &amp; AWARENESS</w:t>
      </w:r>
      <w:r>
        <w:rPr>
          <w:sz w:val="18"/>
        </w:rPr>
        <w:t xml:space="preserve">  (6 codes)</w:t>
      </w:r>
    </w:p>
    <w:p>
      <w:pPr>
        <w:spacing w:before="0" w:after="20"/>
        <w:ind w:left="1008"/>
      </w:pPr>
      <w:r>
        <w:rPr>
          <w:color w:val="555566"/>
          <w:sz w:val="18"/>
        </w:rPr>
        <w:t>• Diabetes Education Programme</w:t>
      </w:r>
    </w:p>
    <w:p>
      <w:pPr>
        <w:spacing w:before="0" w:after="20"/>
        <w:ind w:left="1008"/>
      </w:pPr>
      <w:r>
        <w:rPr>
          <w:color w:val="555566"/>
          <w:sz w:val="18"/>
        </w:rPr>
        <w:t>• Diabetes Eye Link Awareness</w:t>
      </w:r>
    </w:p>
    <w:p>
      <w:pPr>
        <w:spacing w:before="0" w:after="20"/>
        <w:ind w:left="1008"/>
      </w:pPr>
      <w:r>
        <w:rPr>
          <w:color w:val="555566"/>
          <w:sz w:val="18"/>
        </w:rPr>
        <w:t>• Diagnosis Understanding</w:t>
      </w:r>
    </w:p>
    <w:p>
      <w:pPr>
        <w:spacing w:before="0" w:after="20"/>
        <w:ind w:left="1008"/>
      </w:pPr>
      <w:r>
        <w:rPr>
          <w:color w:val="555566"/>
          <w:sz w:val="18"/>
        </w:rPr>
        <w:t>• Dietary Knowledge</w:t>
      </w:r>
    </w:p>
    <w:p>
      <w:pPr>
        <w:spacing w:before="0" w:after="20"/>
        <w:ind w:left="1008"/>
      </w:pPr>
      <w:r>
        <w:rPr>
          <w:color w:val="555566"/>
          <w:sz w:val="18"/>
        </w:rPr>
        <w:t>• Supplement Awareness</w:t>
      </w:r>
    </w:p>
    <w:p>
      <w:pPr>
        <w:ind w:left="432"/>
      </w:pPr>
      <w:r>
        <w:rPr>
          <w:b/>
        </w:rPr>
        <w:t>TREATMENT ENGAGEMENT</w:t>
      </w:r>
      <w:r>
        <w:rPr>
          <w:sz w:val="18"/>
        </w:rPr>
        <w:t xml:space="preserve">  (4 codes)</w:t>
      </w:r>
    </w:p>
    <w:p>
      <w:pPr>
        <w:spacing w:before="0" w:after="20"/>
        <w:ind w:left="1008"/>
      </w:pPr>
      <w:r>
        <w:rPr>
          <w:color w:val="555566"/>
          <w:sz w:val="18"/>
        </w:rPr>
        <w:t>• Medication Adherence</w:t>
      </w:r>
    </w:p>
    <w:p>
      <w:pPr>
        <w:spacing w:before="0" w:after="20"/>
        <w:ind w:left="1008"/>
      </w:pPr>
      <w:r>
        <w:rPr>
          <w:color w:val="555566"/>
          <w:sz w:val="18"/>
        </w:rPr>
        <w:t>• Self-Monitoring</w:t>
      </w:r>
    </w:p>
    <w:p>
      <w:pPr>
        <w:spacing w:before="0" w:after="20"/>
        <w:ind w:left="1008"/>
      </w:pPr>
      <w:r>
        <w:rPr>
          <w:color w:val="555566"/>
          <w:sz w:val="18"/>
        </w:rPr>
        <w:t>• Eye Exam Compliance</w:t>
      </w:r>
    </w:p>
    <w:p>
      <w:pPr>
        <w:spacing w:before="200"/>
      </w:pPr>
      <w:r>
        <w:rPr>
          <w:b/>
          <w:sz w:val="22"/>
        </w:rPr>
        <w:t>BARRIERS - Healthcare System</w:t>
      </w:r>
    </w:p>
    <w:p>
      <w:pPr>
        <w:ind w:left="432"/>
      </w:pPr>
      <w:r>
        <w:rPr>
          <w:b/>
        </w:rPr>
        <w:t>HEALTHCARE SYSTEM EXPERIENCE</w:t>
      </w:r>
      <w:r>
        <w:rPr>
          <w:sz w:val="18"/>
        </w:rPr>
        <w:t xml:space="preserve">  (2 codes)</w:t>
      </w:r>
    </w:p>
    <w:p>
      <w:pPr>
        <w:spacing w:before="0" w:after="20"/>
        <w:ind w:left="1008"/>
      </w:pPr>
      <w:r>
        <w:rPr>
          <w:color w:val="555566"/>
          <w:sz w:val="18"/>
        </w:rPr>
        <w:t>• Waiting times</w:t>
      </w:r>
    </w:p>
    <w:p>
      <w:pPr>
        <w:spacing w:before="0" w:after="20"/>
        <w:ind w:left="1008"/>
      </w:pPr>
      <w:r>
        <w:rPr>
          <w:color w:val="555566"/>
          <w:sz w:val="18"/>
        </w:rPr>
        <w:t>• Waiting Times</w:t>
      </w:r>
    </w:p>
    <w:p>
      <w:pPr>
        <w:ind w:left="432"/>
      </w:pPr>
      <w:r>
        <w:rPr>
          <w:b/>
        </w:rPr>
        <w:t>PATIENT KNOWLEDGE &amp; AWARENESS</w:t>
      </w:r>
      <w:r>
        <w:rPr>
          <w:sz w:val="18"/>
        </w:rPr>
        <w:t xml:space="preserve">  (1 codes)</w:t>
      </w:r>
    </w:p>
    <w:p>
      <w:pPr>
        <w:spacing w:before="0" w:after="20"/>
        <w:ind w:left="1008"/>
      </w:pPr>
      <w:r>
        <w:rPr>
          <w:color w:val="555566"/>
          <w:sz w:val="18"/>
        </w:rPr>
        <w:t>• Diagnosis Understanding</w:t>
      </w:r>
    </w:p>
    <w:p>
      <w:pPr>
        <w:spacing w:before="200"/>
      </w:pPr>
      <w:r>
        <w:rPr>
          <w:b/>
          <w:sz w:val="22"/>
        </w:rPr>
        <w:t>BARRIERS - Financial &amp; Access</w:t>
      </w:r>
    </w:p>
    <w:p>
      <w:pPr>
        <w:ind w:left="432"/>
      </w:pPr>
      <w:r>
        <w:rPr>
          <w:b/>
        </w:rPr>
        <w:t>HEALTHCARE SYSTEM EXPERIENCE</w:t>
      </w:r>
      <w:r>
        <w:rPr>
          <w:sz w:val="18"/>
        </w:rPr>
        <w:t xml:space="preserve">  (1 codes)</w:t>
      </w:r>
    </w:p>
    <w:p>
      <w:pPr>
        <w:spacing w:before="0" w:after="20"/>
        <w:ind w:left="1008"/>
      </w:pPr>
      <w:r>
        <w:rPr>
          <w:color w:val="555566"/>
          <w:sz w:val="18"/>
        </w:rPr>
        <w:t>• Cost of Care</w:t>
      </w:r>
    </w:p>
    <w:p>
      <w:pPr>
        <w:spacing w:before="200"/>
      </w:pPr>
      <w:r>
        <w:rPr>
          <w:b/>
          <w:sz w:val="22"/>
        </w:rPr>
        <w:t>BARRIERS - Beliefs &amp; Perceptions</w:t>
      </w:r>
    </w:p>
    <w:p>
      <w:pPr>
        <w:ind w:left="432"/>
      </w:pPr>
      <w:r>
        <w:rPr>
          <w:b/>
        </w:rPr>
        <w:t>PATIENT KNOWLEDGE &amp; AWARENESS</w:t>
      </w:r>
      <w:r>
        <w:rPr>
          <w:sz w:val="18"/>
        </w:rPr>
        <w:t xml:space="preserve">  (1 codes)</w:t>
      </w:r>
    </w:p>
    <w:p>
      <w:pPr>
        <w:spacing w:before="0" w:after="20"/>
        <w:ind w:left="1008"/>
      </w:pPr>
      <w:r>
        <w:rPr>
          <w:color w:val="555566"/>
          <w:sz w:val="18"/>
        </w:rPr>
        <w:t>• Diabetes Eye Link Awareness</w:t>
      </w:r>
    </w:p>
    <w:p/>
    <w:p>
      <w:pPr>
        <w:spacing w:before="400"/>
        <w:jc w:val="center"/>
      </w:pPr>
      <w:r>
        <w:rPr>
          <w:color w:val="AAAABB"/>
          <w:sz w:val="16"/>
        </w:rPr>
        <w:t>Generated by TranscriptIQ  |  20 April 2026  |  Confidential</w:t>
      </w:r>
    </w:p>
    <w:sectPr w:rsidR="00FC693F" w:rsidRPr="0006063C" w:rsidSect="00034616">
      <w:pgSz w:w="12240" w:h="15840"/>
      <w:pgMar w:top="1417" w:right="1587" w:bottom="1417"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