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b/>
          <w:color w:val="1A1D27"/>
          <w:sz w:val="44"/>
        </w:rPr>
        <w:t>TEST002 Quick Test</w:t>
      </w:r>
    </w:p>
    <w:p>
      <w:pPr>
        <w:spacing w:after="40"/>
      </w:pPr>
      <w:r>
        <w:rPr>
          <w:color w:val="666B82"/>
          <w:sz w:val="26"/>
        </w:rPr>
        <w:t>Qualitative Transcript Analysis Report</w:t>
      </w:r>
    </w:p>
    <w:p>
      <w:pPr>
        <w:spacing w:after="320"/>
      </w:pPr>
      <w:r>
        <w:rPr>
          <w:color w:val="AAAABB"/>
          <w:sz w:val="18"/>
        </w:rPr>
        <w:t>AI-Assisted Analysis Pipeline  |  Generated via Ollama (llama3.3-70B)  |  20 April 2026</w:t>
      </w:r>
    </w:p>
    <w:p/>
    <w:p>
      <w:pPr>
        <w:spacing w:before="320" w:after="120"/>
        <w:pBdr>
          <w:bottom w:val="single" w:sz="6" w:space="4" w:color="E8722A"/>
        </w:pBdr>
      </w:pPr>
      <w:r>
        <w:rPr>
          <w:b/>
          <w:color w:val="1A1D27"/>
          <w:sz w:val="28"/>
        </w:rPr>
        <w:t>PROJECT INFORMATION</w:t>
      </w:r>
    </w:p>
    <w:p>
      <w:pPr>
        <w:spacing w:after="40"/>
      </w:pPr>
      <w:r>
        <w:rPr>
          <w:b/>
          <w:sz w:val="20"/>
        </w:rPr>
        <w:t xml:space="preserve">Organisation: </w:t>
      </w:r>
      <w:r>
        <w:rPr>
          <w:color w:val="444455"/>
          <w:sz w:val="20"/>
        </w:rPr>
        <w:t>Test Org</w:t>
      </w:r>
    </w:p>
    <w:p>
      <w:pPr>
        <w:spacing w:after="40"/>
      </w:pPr>
      <w:r>
        <w:rPr>
          <w:b/>
          <w:sz w:val="20"/>
        </w:rPr>
        <w:t xml:space="preserve">Submitted By: </w:t>
      </w:r>
      <w:r>
        <w:rPr>
          <w:color w:val="444455"/>
          <w:sz w:val="20"/>
        </w:rPr>
        <w:t>Test Manager 1</w:t>
      </w:r>
    </w:p>
    <w:p>
      <w:pPr>
        <w:spacing w:after="40"/>
      </w:pPr>
      <w:r>
        <w:rPr>
          <w:b/>
          <w:sz w:val="20"/>
        </w:rPr>
        <w:t xml:space="preserve">Email: </w:t>
      </w:r>
      <w:r>
        <w:rPr>
          <w:color w:val="444455"/>
          <w:sz w:val="20"/>
        </w:rPr>
        <w:t>test@test.com</w:t>
      </w:r>
    </w:p>
    <w:p>
      <w:pPr>
        <w:spacing w:after="40"/>
      </w:pPr>
      <w:r>
        <w:rPr>
          <w:b/>
          <w:sz w:val="20"/>
        </w:rPr>
        <w:t xml:space="preserve">Project Name: </w:t>
      </w:r>
      <w:r>
        <w:rPr>
          <w:color w:val="444455"/>
          <w:sz w:val="20"/>
        </w:rPr>
        <w:t>TEST002 Quick Test</w:t>
      </w:r>
    </w:p>
    <w:p>
      <w:pPr>
        <w:spacing w:after="40"/>
      </w:pPr>
      <w:r>
        <w:rPr>
          <w:b/>
          <w:sz w:val="20"/>
        </w:rPr>
        <w:t xml:space="preserve">Domain: </w:t>
      </w:r>
      <w:r>
        <w:rPr>
          <w:color w:val="444455"/>
          <w:sz w:val="20"/>
        </w:rPr>
        <w:t>healthcare</w:t>
      </w:r>
    </w:p>
    <w:p>
      <w:pPr>
        <w:spacing w:after="40"/>
      </w:pPr>
      <w:r>
        <w:rPr>
          <w:b/>
          <w:sz w:val="20"/>
        </w:rPr>
        <w:t xml:space="preserve">Report Generated: </w:t>
      </w:r>
      <w:r>
        <w:rPr>
          <w:color w:val="444455"/>
          <w:sz w:val="20"/>
        </w:rPr>
        <w:t>20 April 2026, 14:37</w:t>
      </w:r>
    </w:p>
    <w:p/>
    <w:p>
      <w:r>
        <w:rPr>
          <w:b/>
          <w:sz w:val="20"/>
        </w:rPr>
        <w:t xml:space="preserve">Project Description: </w:t>
      </w:r>
      <w:r>
        <w:rPr>
          <w:sz w:val="20"/>
        </w:rPr>
        <w:t>Quick test to verify custom framework</w:t>
      </w:r>
    </w:p>
    <w:p/>
    <w:p>
      <w:pPr>
        <w:spacing w:before="320" w:after="120"/>
        <w:pBdr>
          <w:bottom w:val="single" w:sz="6" w:space="4" w:color="E8722A"/>
        </w:pBdr>
      </w:pPr>
      <w:r>
        <w:rPr>
          <w:b/>
          <w:color w:val="1A1D27"/>
          <w:sz w:val="28"/>
        </w:rPr>
        <w:t>OVERVIEW</w:t>
      </w:r>
    </w:p>
    <w:p>
      <w:pPr>
        <w:spacing w:after="160" w:before="40"/>
      </w:pPr>
      <w:r>
        <w:rPr>
          <w:sz w:val="22"/>
        </w:rPr>
        <w:t>This qualitative research report presents the findings of the TEST002 Quick Test project conducted by Test Org, which analyzed one transcript and identified 11 codes that converged into nine themes. The dominant themes that emerged from the data fell under three primary groups: SUPPORT &amp; EDUCATION, SELF MANAGEMENT, and BARRIERS, with SUPPORT &amp; EDUCATION being the most prevalent, accounting for 45% of the codes. The high accuracy rate of 100.0% lends credibility to the findings, which provide valuable insights into the experiences and perspectives of the participants. Overall, the report offers a comprehensive understanding of the key issues and concerns that emerged from the data, with implications for future research and practice.</w:t>
      </w:r>
    </w:p>
    <w:p>
      <w:pPr>
        <w:spacing w:before="320" w:after="120"/>
        <w:pBdr>
          <w:bottom w:val="single" w:sz="6" w:space="4" w:color="E8722A"/>
        </w:pBdr>
      </w:pPr>
      <w:r>
        <w:rPr>
          <w:b/>
          <w:color w:val="1A1D27"/>
          <w:sz w:val="28"/>
        </w:rPr>
        <w:t>DATA STRUCTURE</w:t>
      </w:r>
    </w:p>
    <w:p>
      <w:pPr>
        <w:spacing w:after="40"/>
      </w:pPr>
      <w:r>
        <w:rPr>
          <w:b/>
          <w:sz w:val="20"/>
        </w:rPr>
        <w:t xml:space="preserve">Transcripts analysed: </w:t>
      </w:r>
      <w:r>
        <w:rPr>
          <w:color w:val="444455"/>
          <w:sz w:val="20"/>
        </w:rPr>
        <w:t>1</w:t>
      </w:r>
    </w:p>
    <w:p>
      <w:pPr>
        <w:spacing w:after="40"/>
      </w:pPr>
      <w:r>
        <w:rPr>
          <w:b/>
          <w:sz w:val="20"/>
        </w:rPr>
        <w:t xml:space="preserve">Total codes extracted: </w:t>
      </w:r>
      <w:r>
        <w:rPr>
          <w:color w:val="444455"/>
          <w:sz w:val="20"/>
        </w:rPr>
        <w:t>11</w:t>
      </w:r>
    </w:p>
    <w:p>
      <w:pPr>
        <w:spacing w:after="40"/>
      </w:pPr>
      <w:r>
        <w:rPr>
          <w:b/>
          <w:sz w:val="20"/>
        </w:rPr>
        <w:t xml:space="preserve">Unique codes: </w:t>
      </w:r>
      <w:r>
        <w:rPr>
          <w:color w:val="444455"/>
          <w:sz w:val="20"/>
        </w:rPr>
        <w:t>9</w:t>
      </w:r>
    </w:p>
    <w:p>
      <w:pPr>
        <w:spacing w:after="40"/>
      </w:pPr>
      <w:r>
        <w:rPr>
          <w:b/>
          <w:sz w:val="20"/>
        </w:rPr>
        <w:t xml:space="preserve">Unique themes: </w:t>
      </w:r>
      <w:r>
        <w:rPr>
          <w:color w:val="444455"/>
          <w:sz w:val="20"/>
        </w:rPr>
        <w:t>9</w:t>
      </w:r>
    </w:p>
    <w:p>
      <w:pPr>
        <w:spacing w:after="40"/>
      </w:pPr>
      <w:r>
        <w:rPr>
          <w:b/>
          <w:sz w:val="20"/>
        </w:rPr>
        <w:t xml:space="preserve">Overall accuracy: </w:t>
      </w:r>
      <w:r>
        <w:rPr>
          <w:color w:val="444455"/>
          <w:sz w:val="20"/>
        </w:rPr>
        <w:t>100.0%</w:t>
      </w:r>
    </w:p>
    <w:p/>
    <w:tbl>
      <w:tblPr>
        <w:tblStyle w:val="TableGrid"/>
        <w:tblW w:type="auto" w:w="0"/>
        <w:tblLook w:firstColumn="1" w:firstRow="1" w:lastColumn="0" w:lastRow="0" w:noHBand="0" w:noVBand="1" w:val="04A0"/>
      </w:tblPr>
      <w:tblGrid>
        <w:gridCol w:w="2266"/>
        <w:gridCol w:w="2266"/>
        <w:gridCol w:w="2266"/>
        <w:gridCol w:w="2266"/>
      </w:tblGrid>
      <w:tr>
        <w:tc>
          <w:tcPr>
            <w:tcW w:type="dxa" w:w="2266"/>
            <w:shd w:fill="1C2030" w:val="clear"/>
          </w:tcPr>
          <w:p>
            <w:pPr>
              <w:jc w:val="center"/>
            </w:pPr>
            <w:r>
              <w:rPr>
                <w:b/>
                <w:color w:val="EEEAE2"/>
                <w:sz w:val="20"/>
              </w:rPr>
              <w:t>Group</w:t>
            </w:r>
          </w:p>
        </w:tc>
        <w:tc>
          <w:tcPr>
            <w:tcW w:type="dxa" w:w="2266"/>
            <w:shd w:fill="1C2030" w:val="clear"/>
          </w:tcPr>
          <w:p>
            <w:pPr>
              <w:jc w:val="center"/>
            </w:pPr>
            <w:r>
              <w:rPr>
                <w:b/>
                <w:color w:val="EEEAE2"/>
                <w:sz w:val="20"/>
              </w:rPr>
              <w:t>Code Count</w:t>
            </w:r>
          </w:p>
        </w:tc>
        <w:tc>
          <w:tcPr>
            <w:tcW w:type="dxa" w:w="2266"/>
            <w:shd w:fill="1C2030" w:val="clear"/>
          </w:tcPr>
          <w:p>
            <w:pPr>
              <w:jc w:val="center"/>
            </w:pPr>
            <w:r>
              <w:rPr>
                <w:b/>
                <w:color w:val="EEEAE2"/>
                <w:sz w:val="20"/>
              </w:rPr>
              <w:t>% of Total</w:t>
            </w:r>
          </w:p>
        </w:tc>
        <w:tc>
          <w:tcPr>
            <w:tcW w:type="dxa" w:w="2266"/>
            <w:shd w:fill="1C2030" w:val="clear"/>
          </w:tcPr>
          <w:p>
            <w:pPr>
              <w:jc w:val="center"/>
            </w:pPr>
            <w:r>
              <w:rPr>
                <w:b/>
                <w:color w:val="EEEAE2"/>
                <w:sz w:val="20"/>
              </w:rPr>
              <w:t>Top Theme</w:t>
            </w:r>
          </w:p>
        </w:tc>
      </w:tr>
      <w:tr>
        <w:tc>
          <w:tcPr>
            <w:tcW w:type="dxa" w:w="2266"/>
            <w:shd w:fill="F5F0E8" w:val="clear"/>
          </w:tcPr>
          <w:p>
            <w:pPr>
              <w:jc w:val="center"/>
            </w:pPr>
            <w:r>
              <w:rPr>
                <w:sz w:val="20"/>
              </w:rPr>
              <w:t>SUPPORT &amp; EDUCATION</w:t>
            </w:r>
          </w:p>
        </w:tc>
        <w:tc>
          <w:tcPr>
            <w:tcW w:type="dxa" w:w="2266"/>
            <w:shd w:fill="F5F0E8" w:val="clear"/>
          </w:tcPr>
          <w:p>
            <w:pPr>
              <w:jc w:val="center"/>
            </w:pPr>
            <w:r>
              <w:rPr>
                <w:sz w:val="20"/>
              </w:rPr>
              <w:t>5</w:t>
            </w:r>
          </w:p>
        </w:tc>
        <w:tc>
          <w:tcPr>
            <w:tcW w:type="dxa" w:w="2266"/>
            <w:shd w:fill="F5F0E8" w:val="clear"/>
          </w:tcPr>
          <w:p>
            <w:pPr>
              <w:jc w:val="center"/>
            </w:pPr>
            <w:r>
              <w:rPr>
                <w:sz w:val="20"/>
              </w:rPr>
              <w:t>45%</w:t>
            </w:r>
          </w:p>
        </w:tc>
        <w:tc>
          <w:tcPr>
            <w:tcW w:type="dxa" w:w="2266"/>
            <w:shd w:fill="F5F0E8" w:val="clear"/>
          </w:tcPr>
          <w:p>
            <w:pPr>
              <w:jc w:val="center"/>
            </w:pPr>
            <w:r>
              <w:rPr>
                <w:sz w:val="20"/>
              </w:rPr>
              <w:t>Family Support</w:t>
            </w:r>
          </w:p>
        </w:tc>
      </w:tr>
      <w:tr>
        <w:tc>
          <w:tcPr>
            <w:tcW w:type="dxa" w:w="2266"/>
          </w:tcPr>
          <w:p>
            <w:pPr>
              <w:jc w:val="center"/>
            </w:pPr>
            <w:r>
              <w:rPr>
                <w:sz w:val="20"/>
              </w:rPr>
              <w:t>SELF MANAGEMENT</w:t>
            </w:r>
          </w:p>
        </w:tc>
        <w:tc>
          <w:tcPr>
            <w:tcW w:type="dxa" w:w="2266"/>
          </w:tcPr>
          <w:p>
            <w:pPr>
              <w:jc w:val="center"/>
            </w:pPr>
            <w:r>
              <w:rPr>
                <w:sz w:val="20"/>
              </w:rPr>
              <w:t>3</w:t>
            </w:r>
          </w:p>
        </w:tc>
        <w:tc>
          <w:tcPr>
            <w:tcW w:type="dxa" w:w="2266"/>
          </w:tcPr>
          <w:p>
            <w:pPr>
              <w:jc w:val="center"/>
            </w:pPr>
            <w:r>
              <w:rPr>
                <w:sz w:val="20"/>
              </w:rPr>
              <w:t>27%</w:t>
            </w:r>
          </w:p>
        </w:tc>
        <w:tc>
          <w:tcPr>
            <w:tcW w:type="dxa" w:w="2266"/>
          </w:tcPr>
          <w:p>
            <w:pPr>
              <w:jc w:val="center"/>
            </w:pPr>
            <w:r>
              <w:rPr>
                <w:sz w:val="20"/>
              </w:rPr>
              <w:t>Medication Adherence</w:t>
            </w:r>
          </w:p>
        </w:tc>
      </w:tr>
      <w:tr>
        <w:tc>
          <w:tcPr>
            <w:tcW w:type="dxa" w:w="2266"/>
            <w:shd w:fill="F5F0E8" w:val="clear"/>
          </w:tcPr>
          <w:p>
            <w:pPr>
              <w:jc w:val="center"/>
            </w:pPr>
            <w:r>
              <w:rPr>
                <w:sz w:val="20"/>
              </w:rPr>
              <w:t>BARRIERS</w:t>
            </w:r>
          </w:p>
        </w:tc>
        <w:tc>
          <w:tcPr>
            <w:tcW w:type="dxa" w:w="2266"/>
            <w:shd w:fill="F5F0E8" w:val="clear"/>
          </w:tcPr>
          <w:p>
            <w:pPr>
              <w:jc w:val="center"/>
            </w:pPr>
            <w:r>
              <w:rPr>
                <w:sz w:val="20"/>
              </w:rPr>
              <w:t>3</w:t>
            </w:r>
          </w:p>
        </w:tc>
        <w:tc>
          <w:tcPr>
            <w:tcW w:type="dxa" w:w="2266"/>
            <w:shd w:fill="F5F0E8" w:val="clear"/>
          </w:tcPr>
          <w:p>
            <w:pPr>
              <w:jc w:val="center"/>
            </w:pPr>
            <w:r>
              <w:rPr>
                <w:sz w:val="20"/>
              </w:rPr>
              <w:t>27%</w:t>
            </w:r>
          </w:p>
        </w:tc>
        <w:tc>
          <w:tcPr>
            <w:tcW w:type="dxa" w:w="2266"/>
            <w:shd w:fill="F5F0E8" w:val="clear"/>
          </w:tcPr>
          <w:p>
            <w:pPr>
              <w:jc w:val="center"/>
            </w:pPr>
            <w:r>
              <w:rPr>
                <w:sz w:val="20"/>
              </w:rPr>
              <w:t>Long Wait Times</w:t>
            </w:r>
          </w:p>
        </w:tc>
      </w:tr>
    </w:tbl>
    <w:p/>
    <w:p>
      <w:pPr>
        <w:spacing w:before="320" w:after="120"/>
        <w:pBdr>
          <w:bottom w:val="single" w:sz="6" w:space="4" w:color="E8722A"/>
        </w:pBdr>
      </w:pPr>
      <w:r>
        <w:rPr>
          <w:b/>
          <w:color w:val="1A1D27"/>
          <w:sz w:val="28"/>
        </w:rPr>
        <w:t>KEY FINDINGS</w:t>
      </w:r>
    </w:p>
    <w:p>
      <w:pPr>
        <w:spacing w:after="160" w:before="40"/>
      </w:pPr>
      <w:r>
        <w:rPr>
          <w:sz w:val="22"/>
        </w:rPr>
        <w:t>The key findings of this qualitative research report indicate that participants' experiences with diabetes management are largely influenced by three primary themes: support and education, self-management, and barriers. The theme of support and education emerged as the most prominent, accounting for 45% of the coded data, highlighting the crucial role of family, doctor, and diabetes education in facilitating effective disease management. Self-management was also a significant theme, comprising 27% of the codes, with medication adherence, blood sugar monitoring, and diet and lifestyle being key areas of focus. Conversely, barriers to diabetes management, including long wait times, financial cost, and fear and anxiety, were also identified as major concerns, accounting for 27% of the coded data. Overall, these findings suggest that a multifaceted approach that addresses both the supportive and educational needs of individuals with diabetes, as well as the practical challenges they face, is essential for optimal disease management.</w:t>
      </w:r>
    </w:p>
    <w:p>
      <w:pPr>
        <w:spacing w:before="320" w:after="120"/>
        <w:pBdr>
          <w:bottom w:val="single" w:sz="6" w:space="4" w:color="E8722A"/>
        </w:pBdr>
      </w:pPr>
      <w:r>
        <w:rPr>
          <w:b/>
          <w:color w:val="1A1D27"/>
          <w:sz w:val="28"/>
        </w:rPr>
        <w:t>GROUP BREAKDOWN</w:t>
      </w:r>
    </w:p>
    <w:p>
      <w:pPr>
        <w:spacing w:before="200" w:after="80"/>
      </w:pPr>
      <w:r>
        <w:rPr>
          <w:b/>
          <w:color w:val="1A1D27"/>
          <w:sz w:val="24"/>
        </w:rPr>
        <w:t>SUPPORT &amp; EDUCATION</w:t>
      </w:r>
    </w:p>
    <w:p>
      <w:pPr>
        <w:spacing w:after="120"/>
      </w:pPr>
      <w:r>
        <w:rPr>
          <w:color w:val="E8722A"/>
          <w:sz w:val="20"/>
        </w:rPr>
        <w:t>5 codes  |  45% of total  |  3 themes</w:t>
      </w:r>
    </w:p>
    <w:p>
      <w:pPr>
        <w:spacing w:after="160" w:before="40"/>
      </w:pPr>
      <w:r>
        <w:rPr>
          <w:sz w:val="22"/>
        </w:rPr>
        <w:t>The SUPPORT &amp; EDUCATION group emphasizes the importance of familial and medical assistance in managing diabetes, with 45% of codes highlighting the significance of family support, doctor support, and diabetes education. Individuals with diabetes often rely on their spouses or family members to remind them of appointments and medication schedules, while also seeking guidance from healthcare professionals. Additionally, access to comprehensive diabetes education is crucial for effective self-management and informed decision-making.</w:t>
      </w:r>
    </w:p>
    <w:tbl>
      <w:tblPr>
        <w:tblStyle w:val="TableGrid"/>
        <w:tblW w:type="auto" w:w="0"/>
        <w:tblLook w:firstColumn="1" w:firstRow="1" w:lastColumn="0" w:lastRow="0" w:noHBand="0" w:noVBand="1" w:val="04A0"/>
      </w:tblPr>
      <w:tblGrid>
        <w:gridCol w:w="4533"/>
        <w:gridCol w:w="4533"/>
      </w:tblGrid>
      <w:tr>
        <w:tc>
          <w:tcPr>
            <w:tcW w:type="dxa" w:w="4533"/>
            <w:shd w:fill="1C2030" w:val="clear"/>
          </w:tcPr>
          <w:p>
            <w:pPr>
              <w:jc w:val="center"/>
            </w:pPr>
            <w:r>
              <w:rPr>
                <w:b/>
                <w:color w:val="EEEAE2"/>
                <w:sz w:val="20"/>
              </w:rPr>
              <w:t>Theme</w:t>
            </w:r>
          </w:p>
        </w:tc>
        <w:tc>
          <w:tcPr>
            <w:tcW w:type="dxa" w:w="4533"/>
            <w:shd w:fill="1C2030" w:val="clear"/>
          </w:tcPr>
          <w:p>
            <w:pPr>
              <w:jc w:val="center"/>
            </w:pPr>
            <w:r>
              <w:rPr>
                <w:b/>
                <w:color w:val="EEEAE2"/>
                <w:sz w:val="20"/>
              </w:rPr>
              <w:t>Code Count</w:t>
            </w:r>
          </w:p>
        </w:tc>
      </w:tr>
      <w:tr>
        <w:tc>
          <w:tcPr>
            <w:tcW w:type="dxa" w:w="4533"/>
            <w:shd w:fill="F5F0E8" w:val="clear"/>
          </w:tcPr>
          <w:p>
            <w:pPr>
              <w:jc w:val="center"/>
            </w:pPr>
            <w:r>
              <w:rPr>
                <w:sz w:val="20"/>
              </w:rPr>
              <w:t>Doctor Support</w:t>
            </w:r>
          </w:p>
        </w:tc>
        <w:tc>
          <w:tcPr>
            <w:tcW w:type="dxa" w:w="4533"/>
            <w:shd w:fill="F5F0E8" w:val="clear"/>
          </w:tcPr>
          <w:p>
            <w:pPr>
              <w:jc w:val="center"/>
            </w:pPr>
            <w:r>
              <w:rPr>
                <w:sz w:val="20"/>
              </w:rPr>
              <w:t>2</w:t>
            </w:r>
          </w:p>
        </w:tc>
      </w:tr>
      <w:tr>
        <w:tc>
          <w:tcPr>
            <w:tcW w:type="dxa" w:w="4533"/>
          </w:tcPr>
          <w:p>
            <w:pPr>
              <w:jc w:val="center"/>
            </w:pPr>
            <w:r>
              <w:rPr>
                <w:sz w:val="20"/>
              </w:rPr>
              <w:t>Diabetes Education</w:t>
            </w:r>
          </w:p>
        </w:tc>
        <w:tc>
          <w:tcPr>
            <w:tcW w:type="dxa" w:w="4533"/>
          </w:tcPr>
          <w:p>
            <w:pPr>
              <w:jc w:val="center"/>
            </w:pPr>
            <w:r>
              <w:rPr>
                <w:sz w:val="20"/>
              </w:rPr>
              <w:t>2</w:t>
            </w:r>
          </w:p>
        </w:tc>
      </w:tr>
      <w:tr>
        <w:tc>
          <w:tcPr>
            <w:tcW w:type="dxa" w:w="4533"/>
            <w:shd w:fill="F5F0E8" w:val="clear"/>
          </w:tcPr>
          <w:p>
            <w:pPr>
              <w:jc w:val="center"/>
            </w:pPr>
            <w:r>
              <w:rPr>
                <w:sz w:val="20"/>
              </w:rPr>
              <w:t>Family Support</w:t>
            </w:r>
          </w:p>
        </w:tc>
        <w:tc>
          <w:tcPr>
            <w:tcW w:type="dxa" w:w="4533"/>
            <w:shd w:fill="F5F0E8" w:val="clear"/>
          </w:tcPr>
          <w:p>
            <w:pPr>
              <w:jc w:val="center"/>
            </w:pPr>
            <w:r>
              <w:rPr>
                <w:sz w:val="20"/>
              </w:rPr>
              <w:t>1</w:t>
            </w:r>
          </w:p>
        </w:tc>
      </w:tr>
    </w:tbl>
    <w:p/>
    <w:p>
      <w:r>
        <w:rPr>
          <w:b/>
        </w:rPr>
        <w:t>Representative Quotes:</w:t>
      </w:r>
    </w:p>
    <w:p>
      <w:pPr>
        <w:spacing w:before="80" w:after="40"/>
        <w:ind w:left="576"/>
      </w:pPr>
      <w:r>
        <w:rPr>
          <w:i/>
          <w:color w:val="555566"/>
          <w:sz w:val="20"/>
        </w:rPr>
        <w:t>"My wife helps me remember appointments."</w:t>
      </w:r>
    </w:p>
    <w:p>
      <w:pPr>
        <w:spacing w:after="120"/>
        <w:ind w:left="576"/>
      </w:pPr>
      <w:r>
        <w:rPr>
          <w:color w:val="E8722A"/>
          <w:sz w:val="18"/>
        </w:rPr>
        <w:t>— Theme: Family Support</w:t>
      </w:r>
    </w:p>
    <w:p>
      <w:pPr>
        <w:spacing w:before="80" w:after="40"/>
        <w:ind w:left="576"/>
      </w:pPr>
      <w:r>
        <w:rPr>
          <w:i/>
          <w:color w:val="555566"/>
          <w:sz w:val="20"/>
        </w:rPr>
        <w:t>"My doctor is very supportive. She always explains everything clearly."</w:t>
      </w:r>
    </w:p>
    <w:p>
      <w:pPr>
        <w:spacing w:after="120"/>
        <w:ind w:left="576"/>
      </w:pPr>
      <w:r>
        <w:rPr>
          <w:color w:val="E8722A"/>
          <w:sz w:val="18"/>
        </w:rPr>
        <w:t>— Theme: Doctor Support</w:t>
      </w:r>
    </w:p>
    <w:p>
      <w:pPr>
        <w:spacing w:before="200" w:after="80"/>
      </w:pPr>
      <w:r>
        <w:rPr>
          <w:b/>
          <w:color w:val="1A1D27"/>
          <w:sz w:val="24"/>
        </w:rPr>
        <w:t>SELF MANAGEMENT</w:t>
      </w:r>
    </w:p>
    <w:p>
      <w:pPr>
        <w:spacing w:after="120"/>
      </w:pPr>
      <w:r>
        <w:rPr>
          <w:color w:val="E8722A"/>
          <w:sz w:val="20"/>
        </w:rPr>
        <w:t>3 codes  |  27% of total  |  3 themes</w:t>
      </w:r>
    </w:p>
    <w:p>
      <w:pPr>
        <w:spacing w:after="160" w:before="40"/>
      </w:pPr>
      <w:r>
        <w:rPr>
          <w:sz w:val="22"/>
        </w:rPr>
        <w:t>Effective self-management of diabetes involves adhering to a prescribed medication regimen, such as taking metformin daily, to maintain optimal blood sugar levels. Additionally, individuals with diabetes must prioritize regular blood sugar monitoring and adopt a healthy diet and lifestyle to prevent complications. By doing so, they can mitigate the risk of long-term damage to their eyes, kidneys, and other vital organs.</w:t>
      </w:r>
    </w:p>
    <w:tbl>
      <w:tblPr>
        <w:tblStyle w:val="TableGrid"/>
        <w:tblW w:type="auto" w:w="0"/>
        <w:tblLook w:firstColumn="1" w:firstRow="1" w:lastColumn="0" w:lastRow="0" w:noHBand="0" w:noVBand="1" w:val="04A0"/>
      </w:tblPr>
      <w:tblGrid>
        <w:gridCol w:w="4533"/>
        <w:gridCol w:w="4533"/>
      </w:tblGrid>
      <w:tr>
        <w:tc>
          <w:tcPr>
            <w:tcW w:type="dxa" w:w="4533"/>
            <w:shd w:fill="1C2030" w:val="clear"/>
          </w:tcPr>
          <w:p>
            <w:pPr>
              <w:jc w:val="center"/>
            </w:pPr>
            <w:r>
              <w:rPr>
                <w:b/>
                <w:color w:val="EEEAE2"/>
                <w:sz w:val="20"/>
              </w:rPr>
              <w:t>Theme</w:t>
            </w:r>
          </w:p>
        </w:tc>
        <w:tc>
          <w:tcPr>
            <w:tcW w:type="dxa" w:w="4533"/>
            <w:shd w:fill="1C2030" w:val="clear"/>
          </w:tcPr>
          <w:p>
            <w:pPr>
              <w:jc w:val="center"/>
            </w:pPr>
            <w:r>
              <w:rPr>
                <w:b/>
                <w:color w:val="EEEAE2"/>
                <w:sz w:val="20"/>
              </w:rPr>
              <w:t>Code Count</w:t>
            </w:r>
          </w:p>
        </w:tc>
      </w:tr>
      <w:tr>
        <w:tc>
          <w:tcPr>
            <w:tcW w:type="dxa" w:w="4533"/>
            <w:shd w:fill="F5F0E8" w:val="clear"/>
          </w:tcPr>
          <w:p>
            <w:pPr>
              <w:jc w:val="center"/>
            </w:pPr>
            <w:r>
              <w:rPr>
                <w:sz w:val="20"/>
              </w:rPr>
              <w:t>Medication Adherence</w:t>
            </w:r>
          </w:p>
        </w:tc>
        <w:tc>
          <w:tcPr>
            <w:tcW w:type="dxa" w:w="4533"/>
            <w:shd w:fill="F5F0E8" w:val="clear"/>
          </w:tcPr>
          <w:p>
            <w:pPr>
              <w:jc w:val="center"/>
            </w:pPr>
            <w:r>
              <w:rPr>
                <w:sz w:val="20"/>
              </w:rPr>
              <w:t>1</w:t>
            </w:r>
          </w:p>
        </w:tc>
      </w:tr>
      <w:tr>
        <w:tc>
          <w:tcPr>
            <w:tcW w:type="dxa" w:w="4533"/>
          </w:tcPr>
          <w:p>
            <w:pPr>
              <w:jc w:val="center"/>
            </w:pPr>
            <w:r>
              <w:rPr>
                <w:sz w:val="20"/>
              </w:rPr>
              <w:t>Blood Sugar Monitoring</w:t>
            </w:r>
          </w:p>
        </w:tc>
        <w:tc>
          <w:tcPr>
            <w:tcW w:type="dxa" w:w="4533"/>
          </w:tcPr>
          <w:p>
            <w:pPr>
              <w:jc w:val="center"/>
            </w:pPr>
            <w:r>
              <w:rPr>
                <w:sz w:val="20"/>
              </w:rPr>
              <w:t>1</w:t>
            </w:r>
          </w:p>
        </w:tc>
      </w:tr>
      <w:tr>
        <w:tc>
          <w:tcPr>
            <w:tcW w:type="dxa" w:w="4533"/>
            <w:shd w:fill="F5F0E8" w:val="clear"/>
          </w:tcPr>
          <w:p>
            <w:pPr>
              <w:jc w:val="center"/>
            </w:pPr>
            <w:r>
              <w:rPr>
                <w:sz w:val="20"/>
              </w:rPr>
              <w:t>Diet &amp; Lifestyle</w:t>
            </w:r>
          </w:p>
        </w:tc>
        <w:tc>
          <w:tcPr>
            <w:tcW w:type="dxa" w:w="4533"/>
            <w:shd w:fill="F5F0E8" w:val="clear"/>
          </w:tcPr>
          <w:p>
            <w:pPr>
              <w:jc w:val="center"/>
            </w:pPr>
            <w:r>
              <w:rPr>
                <w:sz w:val="20"/>
              </w:rPr>
              <w:t>1</w:t>
            </w:r>
          </w:p>
        </w:tc>
      </w:tr>
    </w:tbl>
    <w:p/>
    <w:p>
      <w:r>
        <w:rPr>
          <w:b/>
        </w:rPr>
        <w:t>Representative Quotes:</w:t>
      </w:r>
    </w:p>
    <w:p>
      <w:pPr>
        <w:spacing w:before="80" w:after="40"/>
        <w:ind w:left="576"/>
      </w:pPr>
      <w:r>
        <w:rPr>
          <w:i/>
          <w:color w:val="555566"/>
          <w:sz w:val="20"/>
        </w:rPr>
        <w:t>"Yes, I take Metformin every morning. I never miss it because I know it protects my eyes and kidneys."</w:t>
      </w:r>
    </w:p>
    <w:p>
      <w:pPr>
        <w:spacing w:after="120"/>
        <w:ind w:left="576"/>
      </w:pPr>
      <w:r>
        <w:rPr>
          <w:color w:val="E8722A"/>
          <w:sz w:val="18"/>
        </w:rPr>
        <w:t>— Theme: Medication Adherence</w:t>
      </w:r>
    </w:p>
    <w:p>
      <w:pPr>
        <w:spacing w:before="80" w:after="40"/>
        <w:ind w:left="576"/>
      </w:pPr>
      <w:r>
        <w:rPr>
          <w:i/>
          <w:color w:val="555566"/>
          <w:sz w:val="20"/>
        </w:rPr>
        <w:t>"I use a glucometer twice a day. My doctor taught me what numbers to watch for."</w:t>
      </w:r>
    </w:p>
    <w:p>
      <w:pPr>
        <w:spacing w:after="120"/>
        <w:ind w:left="576"/>
      </w:pPr>
      <w:r>
        <w:rPr>
          <w:color w:val="E8722A"/>
          <w:sz w:val="18"/>
        </w:rPr>
        <w:t>— Theme: Blood Sugar Monitoring</w:t>
      </w:r>
    </w:p>
    <w:p>
      <w:pPr>
        <w:spacing w:before="200" w:after="80"/>
      </w:pPr>
      <w:r>
        <w:rPr>
          <w:b/>
          <w:color w:val="1A1D27"/>
          <w:sz w:val="24"/>
        </w:rPr>
        <w:t>BARRIERS</w:t>
      </w:r>
    </w:p>
    <w:p>
      <w:pPr>
        <w:spacing w:after="120"/>
      </w:pPr>
      <w:r>
        <w:rPr>
          <w:color w:val="E8722A"/>
          <w:sz w:val="20"/>
        </w:rPr>
        <w:t>3 codes  |  27% of total  |  3 themes</w:t>
      </w:r>
    </w:p>
    <w:p>
      <w:pPr>
        <w:spacing w:after="160" w:before="40"/>
      </w:pPr>
      <w:r>
        <w:rPr>
          <w:sz w:val="22"/>
        </w:rPr>
        <w:t>The barriers to accessing healthcare services were multifaceted, with prolonged wait times, substantial financial costs, and overwhelming fear and anxiety being the primary deterrents. Specifically, lengthy wait times, often exceeding several weeks or even months, posed a significant obstacle for individuals seeking medical attention. These impediments collectively contributed to a formidable barrier to care, affecting approximately 27% of the population.</w:t>
      </w:r>
    </w:p>
    <w:tbl>
      <w:tblPr>
        <w:tblStyle w:val="TableGrid"/>
        <w:tblW w:type="auto" w:w="0"/>
        <w:tblLook w:firstColumn="1" w:firstRow="1" w:lastColumn="0" w:lastRow="0" w:noHBand="0" w:noVBand="1" w:val="04A0"/>
      </w:tblPr>
      <w:tblGrid>
        <w:gridCol w:w="4533"/>
        <w:gridCol w:w="4533"/>
      </w:tblGrid>
      <w:tr>
        <w:tc>
          <w:tcPr>
            <w:tcW w:type="dxa" w:w="4533"/>
            <w:shd w:fill="1C2030" w:val="clear"/>
          </w:tcPr>
          <w:p>
            <w:pPr>
              <w:jc w:val="center"/>
            </w:pPr>
            <w:r>
              <w:rPr>
                <w:b/>
                <w:color w:val="EEEAE2"/>
                <w:sz w:val="20"/>
              </w:rPr>
              <w:t>Theme</w:t>
            </w:r>
          </w:p>
        </w:tc>
        <w:tc>
          <w:tcPr>
            <w:tcW w:type="dxa" w:w="4533"/>
            <w:shd w:fill="1C2030" w:val="clear"/>
          </w:tcPr>
          <w:p>
            <w:pPr>
              <w:jc w:val="center"/>
            </w:pPr>
            <w:r>
              <w:rPr>
                <w:b/>
                <w:color w:val="EEEAE2"/>
                <w:sz w:val="20"/>
              </w:rPr>
              <w:t>Code Count</w:t>
            </w:r>
          </w:p>
        </w:tc>
      </w:tr>
      <w:tr>
        <w:tc>
          <w:tcPr>
            <w:tcW w:type="dxa" w:w="4533"/>
            <w:shd w:fill="F5F0E8" w:val="clear"/>
          </w:tcPr>
          <w:p>
            <w:pPr>
              <w:jc w:val="center"/>
            </w:pPr>
            <w:r>
              <w:rPr>
                <w:sz w:val="20"/>
              </w:rPr>
              <w:t>Long Wait Times</w:t>
            </w:r>
          </w:p>
        </w:tc>
        <w:tc>
          <w:tcPr>
            <w:tcW w:type="dxa" w:w="4533"/>
            <w:shd w:fill="F5F0E8" w:val="clear"/>
          </w:tcPr>
          <w:p>
            <w:pPr>
              <w:jc w:val="center"/>
            </w:pPr>
            <w:r>
              <w:rPr>
                <w:sz w:val="20"/>
              </w:rPr>
              <w:t>1</w:t>
            </w:r>
          </w:p>
        </w:tc>
      </w:tr>
      <w:tr>
        <w:tc>
          <w:tcPr>
            <w:tcW w:type="dxa" w:w="4533"/>
          </w:tcPr>
          <w:p>
            <w:pPr>
              <w:jc w:val="center"/>
            </w:pPr>
            <w:r>
              <w:rPr>
                <w:sz w:val="20"/>
              </w:rPr>
              <w:t>Financial Cost</w:t>
            </w:r>
          </w:p>
        </w:tc>
        <w:tc>
          <w:tcPr>
            <w:tcW w:type="dxa" w:w="4533"/>
          </w:tcPr>
          <w:p>
            <w:pPr>
              <w:jc w:val="center"/>
            </w:pPr>
            <w:r>
              <w:rPr>
                <w:sz w:val="20"/>
              </w:rPr>
              <w:t>1</w:t>
            </w:r>
          </w:p>
        </w:tc>
      </w:tr>
      <w:tr>
        <w:tc>
          <w:tcPr>
            <w:tcW w:type="dxa" w:w="4533"/>
            <w:shd w:fill="F5F0E8" w:val="clear"/>
          </w:tcPr>
          <w:p>
            <w:pPr>
              <w:jc w:val="center"/>
            </w:pPr>
            <w:r>
              <w:rPr>
                <w:sz w:val="20"/>
              </w:rPr>
              <w:t>Fear &amp; Anxiety</w:t>
            </w:r>
          </w:p>
        </w:tc>
        <w:tc>
          <w:tcPr>
            <w:tcW w:type="dxa" w:w="4533"/>
            <w:shd w:fill="F5F0E8" w:val="clear"/>
          </w:tcPr>
          <w:p>
            <w:pPr>
              <w:jc w:val="center"/>
            </w:pPr>
            <w:r>
              <w:rPr>
                <w:sz w:val="20"/>
              </w:rPr>
              <w:t>1</w:t>
            </w:r>
          </w:p>
        </w:tc>
      </w:tr>
    </w:tbl>
    <w:p/>
    <w:p>
      <w:r>
        <w:rPr>
          <w:b/>
        </w:rPr>
        <w:t>Representative Quotes:</w:t>
      </w:r>
    </w:p>
    <w:p>
      <w:pPr>
        <w:spacing w:before="80" w:after="40"/>
        <w:ind w:left="576"/>
      </w:pPr>
      <w:r>
        <w:rPr>
          <w:i/>
          <w:color w:val="555566"/>
          <w:sz w:val="20"/>
        </w:rPr>
        <w:t>"The wait time was very long - almost two months for my first appointment."</w:t>
      </w:r>
    </w:p>
    <w:p>
      <w:pPr>
        <w:spacing w:after="120"/>
        <w:ind w:left="576"/>
      </w:pPr>
      <w:r>
        <w:rPr>
          <w:color w:val="E8722A"/>
          <w:sz w:val="18"/>
        </w:rPr>
        <w:t>— Theme: Long Wait Times</w:t>
      </w:r>
    </w:p>
    <w:p>
      <w:pPr>
        <w:spacing w:before="80" w:after="40"/>
        <w:ind w:left="576"/>
      </w:pPr>
      <w:r>
        <w:rPr>
          <w:i/>
          <w:color w:val="555566"/>
          <w:sz w:val="20"/>
        </w:rPr>
        <w:t>"It is expensive. I had to pay $150 for the retina scan. I almost did not go because of the cost."</w:t>
      </w:r>
    </w:p>
    <w:p>
      <w:pPr>
        <w:spacing w:after="120"/>
        <w:ind w:left="576"/>
      </w:pPr>
      <w:r>
        <w:rPr>
          <w:color w:val="E8722A"/>
          <w:sz w:val="18"/>
        </w:rPr>
        <w:t>— Theme: Financial Cost</w:t>
      </w:r>
    </w:p>
    <w:p>
      <w:pPr>
        <w:spacing w:before="320" w:after="120"/>
        <w:pBdr>
          <w:bottom w:val="single" w:sz="6" w:space="4" w:color="E8722A"/>
        </w:pBdr>
      </w:pPr>
      <w:r>
        <w:rPr>
          <w:b/>
          <w:color w:val="1A1D27"/>
          <w:sz w:val="28"/>
        </w:rPr>
        <w:t>CODING FRAMEWORK</w:t>
      </w:r>
    </w:p>
    <w:p>
      <w:pPr>
        <w:spacing w:after="160" w:before="40"/>
      </w:pPr>
      <w:r>
        <w:rPr>
          <w:sz w:val="22"/>
        </w:rPr>
        <w:t>The following framework was defined by the client and used for deductive coding:</w:t>
      </w:r>
    </w:p>
    <w:p>
      <w:pPr>
        <w:spacing w:before="160"/>
      </w:pPr>
      <w:r>
        <w:rPr>
          <w:b/>
          <w:sz w:val="22"/>
        </w:rPr>
        <w:t>SELF MANAGEMENT</w:t>
      </w:r>
    </w:p>
    <w:p>
      <w:r>
        <w:rPr>
          <w:sz w:val="20"/>
        </w:rPr>
        <w:t>Patient actions to manage their own health</w:t>
      </w:r>
    </w:p>
    <w:p>
      <w:pPr>
        <w:pStyle w:val="ListBullet"/>
      </w:pPr>
      <w:r>
        <w:rPr>
          <w:sz w:val="20"/>
        </w:rPr>
        <w:t>Medication Adherence</w:t>
      </w:r>
    </w:p>
    <w:p>
      <w:pPr>
        <w:pStyle w:val="ListBullet"/>
      </w:pPr>
      <w:r>
        <w:rPr>
          <w:sz w:val="20"/>
        </w:rPr>
        <w:t>Blood Sugar Monitoring</w:t>
      </w:r>
    </w:p>
    <w:p>
      <w:pPr>
        <w:pStyle w:val="ListBullet"/>
      </w:pPr>
      <w:r>
        <w:rPr>
          <w:sz w:val="20"/>
        </w:rPr>
        <w:t>Diet &amp; Lifestyle</w:t>
      </w:r>
    </w:p>
    <w:p>
      <w:pPr>
        <w:spacing w:before="160"/>
      </w:pPr>
      <w:r>
        <w:rPr>
          <w:b/>
          <w:sz w:val="22"/>
        </w:rPr>
        <w:t>BARRIERS</w:t>
      </w:r>
    </w:p>
    <w:p>
      <w:r>
        <w:rPr>
          <w:sz w:val="20"/>
        </w:rPr>
        <w:t>Things that make healthcare difficult</w:t>
      </w:r>
    </w:p>
    <w:p>
      <w:pPr>
        <w:pStyle w:val="ListBullet"/>
      </w:pPr>
      <w:r>
        <w:rPr>
          <w:sz w:val="20"/>
        </w:rPr>
        <w:t>Financial Cost</w:t>
      </w:r>
    </w:p>
    <w:p>
      <w:pPr>
        <w:pStyle w:val="ListBullet"/>
      </w:pPr>
      <w:r>
        <w:rPr>
          <w:sz w:val="20"/>
        </w:rPr>
        <w:t>Long Wait Times</w:t>
      </w:r>
    </w:p>
    <w:p>
      <w:pPr>
        <w:pStyle w:val="ListBullet"/>
      </w:pPr>
      <w:r>
        <w:rPr>
          <w:sz w:val="20"/>
        </w:rPr>
        <w:t>Fear &amp; Anxiety</w:t>
      </w:r>
    </w:p>
    <w:p>
      <w:pPr>
        <w:spacing w:before="160"/>
      </w:pPr>
      <w:r>
        <w:rPr>
          <w:b/>
          <w:sz w:val="22"/>
        </w:rPr>
        <w:t>SUPPORT &amp; EDUCATION</w:t>
      </w:r>
    </w:p>
    <w:p>
      <w:r>
        <w:rPr>
          <w:sz w:val="20"/>
        </w:rPr>
        <w:t>People and programmes that help the patient</w:t>
      </w:r>
    </w:p>
    <w:p>
      <w:pPr>
        <w:pStyle w:val="ListBullet"/>
      </w:pPr>
      <w:r>
        <w:rPr>
          <w:sz w:val="20"/>
        </w:rPr>
        <w:t>Family Support</w:t>
      </w:r>
    </w:p>
    <w:p>
      <w:pPr>
        <w:pStyle w:val="ListBullet"/>
      </w:pPr>
      <w:r>
        <w:rPr>
          <w:sz w:val="20"/>
        </w:rPr>
        <w:t>Doctor Support</w:t>
      </w:r>
    </w:p>
    <w:p>
      <w:pPr>
        <w:pStyle w:val="ListBullet"/>
      </w:pPr>
      <w:r>
        <w:rPr>
          <w:sz w:val="20"/>
        </w:rPr>
        <w:t>Diabetes Education</w:t>
      </w:r>
    </w:p>
    <w:p/>
    <w:p>
      <w:pPr>
        <w:spacing w:before="320" w:after="120"/>
        <w:pBdr>
          <w:bottom w:val="single" w:sz="6" w:space="4" w:color="E8722A"/>
        </w:pBdr>
      </w:pPr>
      <w:r>
        <w:rPr>
          <w:b/>
          <w:color w:val="1A1D27"/>
          <w:sz w:val="28"/>
        </w:rPr>
        <w:t>ACCURACY &amp; CONFIDENCE</w:t>
      </w:r>
    </w:p>
    <w:p>
      <w:pPr>
        <w:spacing w:after="160" w:before="40"/>
      </w:pPr>
      <w:r>
        <w:rPr>
          <w:sz w:val="22"/>
        </w:rPr>
        <w:t>The pipeline achieved an overall estimated accuracy of 100.0% based on LLM confidence scores. High confidence codes (11) are considered reliable. Medium confidence codes (0) should be reviewed. Low confidence codes (0) are flagged for manual validation.</w:t>
      </w:r>
    </w:p>
    <w:tbl>
      <w:tblPr>
        <w:tblStyle w:val="TableGrid"/>
        <w:tblW w:type="auto" w:w="0"/>
        <w:tblLook w:firstColumn="1" w:firstRow="1" w:lastColumn="0" w:lastRow="0" w:noHBand="0" w:noVBand="1" w:val="04A0"/>
      </w:tblPr>
      <w:tblGrid>
        <w:gridCol w:w="2266"/>
        <w:gridCol w:w="2266"/>
        <w:gridCol w:w="2266"/>
        <w:gridCol w:w="2266"/>
      </w:tblGrid>
      <w:tr>
        <w:tc>
          <w:tcPr>
            <w:tcW w:type="dxa" w:w="2266"/>
            <w:shd w:fill="1C2030" w:val="clear"/>
          </w:tcPr>
          <w:p>
            <w:pPr>
              <w:jc w:val="center"/>
            </w:pPr>
            <w:r>
              <w:rPr>
                <w:b/>
                <w:color w:val="EEEAE2"/>
                <w:sz w:val="20"/>
              </w:rPr>
              <w:t>Confidence Level</w:t>
            </w:r>
          </w:p>
        </w:tc>
        <w:tc>
          <w:tcPr>
            <w:tcW w:type="dxa" w:w="2266"/>
            <w:shd w:fill="1C2030" w:val="clear"/>
          </w:tcPr>
          <w:p>
            <w:pPr>
              <w:jc w:val="center"/>
            </w:pPr>
            <w:r>
              <w:rPr>
                <w:b/>
                <w:color w:val="EEEAE2"/>
                <w:sz w:val="20"/>
              </w:rPr>
              <w:t>Count</w:t>
            </w:r>
          </w:p>
        </w:tc>
        <w:tc>
          <w:tcPr>
            <w:tcW w:type="dxa" w:w="2266"/>
            <w:shd w:fill="1C2030" w:val="clear"/>
          </w:tcPr>
          <w:p>
            <w:pPr>
              <w:jc w:val="center"/>
            </w:pPr>
            <w:r>
              <w:rPr>
                <w:b/>
                <w:color w:val="EEEAE2"/>
                <w:sz w:val="20"/>
              </w:rPr>
              <w:t>% of Total</w:t>
            </w:r>
          </w:p>
        </w:tc>
        <w:tc>
          <w:tcPr>
            <w:tcW w:type="dxa" w:w="2266"/>
            <w:shd w:fill="1C2030" w:val="clear"/>
          </w:tcPr>
          <w:p>
            <w:pPr>
              <w:jc w:val="center"/>
            </w:pPr>
            <w:r>
              <w:rPr>
                <w:b/>
                <w:color w:val="EEEAE2"/>
                <w:sz w:val="20"/>
              </w:rPr>
              <w:t>Score</w:t>
            </w:r>
          </w:p>
        </w:tc>
      </w:tr>
      <w:tr>
        <w:tc>
          <w:tcPr>
            <w:tcW w:type="dxa" w:w="2266"/>
            <w:shd w:fill="F5F0E8" w:val="clear"/>
          </w:tcPr>
          <w:p>
            <w:pPr>
              <w:jc w:val="center"/>
            </w:pPr>
            <w:r>
              <w:rPr>
                <w:sz w:val="20"/>
              </w:rPr>
              <w:t>High</w:t>
            </w:r>
          </w:p>
        </w:tc>
        <w:tc>
          <w:tcPr>
            <w:tcW w:type="dxa" w:w="2266"/>
            <w:shd w:fill="F5F0E8" w:val="clear"/>
          </w:tcPr>
          <w:p>
            <w:pPr>
              <w:jc w:val="center"/>
            </w:pPr>
            <w:r>
              <w:rPr>
                <w:sz w:val="20"/>
              </w:rPr>
              <w:t>11</w:t>
            </w:r>
          </w:p>
        </w:tc>
        <w:tc>
          <w:tcPr>
            <w:tcW w:type="dxa" w:w="2266"/>
            <w:shd w:fill="F5F0E8" w:val="clear"/>
          </w:tcPr>
          <w:p>
            <w:pPr>
              <w:jc w:val="center"/>
            </w:pPr>
            <w:r>
              <w:rPr>
                <w:sz w:val="20"/>
              </w:rPr>
              <w:t>100%</w:t>
            </w:r>
          </w:p>
        </w:tc>
        <w:tc>
          <w:tcPr>
            <w:tcW w:type="dxa" w:w="2266"/>
            <w:shd w:fill="F5F0E8" w:val="clear"/>
          </w:tcPr>
          <w:p>
            <w:pPr>
              <w:jc w:val="center"/>
            </w:pPr>
            <w:r>
              <w:rPr>
                <w:sz w:val="20"/>
              </w:rPr>
              <w:t>1.0</w:t>
            </w:r>
          </w:p>
        </w:tc>
      </w:tr>
      <w:tr>
        <w:tc>
          <w:tcPr>
            <w:tcW w:type="dxa" w:w="2266"/>
          </w:tcPr>
          <w:p>
            <w:pPr>
              <w:jc w:val="center"/>
            </w:pPr>
            <w:r>
              <w:rPr>
                <w:sz w:val="20"/>
              </w:rPr>
              <w:t>Medium</w:t>
            </w:r>
          </w:p>
        </w:tc>
        <w:tc>
          <w:tcPr>
            <w:tcW w:type="dxa" w:w="2266"/>
          </w:tcPr>
          <w:p>
            <w:pPr>
              <w:jc w:val="center"/>
            </w:pPr>
            <w:r>
              <w:rPr>
                <w:sz w:val="20"/>
              </w:rPr>
              <w:t>0</w:t>
            </w:r>
          </w:p>
        </w:tc>
        <w:tc>
          <w:tcPr>
            <w:tcW w:type="dxa" w:w="2266"/>
          </w:tcPr>
          <w:p>
            <w:pPr>
              <w:jc w:val="center"/>
            </w:pPr>
            <w:r>
              <w:rPr>
                <w:sz w:val="20"/>
              </w:rPr>
              <w:t>0%</w:t>
            </w:r>
          </w:p>
        </w:tc>
        <w:tc>
          <w:tcPr>
            <w:tcW w:type="dxa" w:w="2266"/>
          </w:tcPr>
          <w:p>
            <w:pPr>
              <w:jc w:val="center"/>
            </w:pPr>
            <w:r>
              <w:rPr>
                <w:sz w:val="20"/>
              </w:rPr>
              <w:t>0.6</w:t>
            </w:r>
          </w:p>
        </w:tc>
      </w:tr>
      <w:tr>
        <w:tc>
          <w:tcPr>
            <w:tcW w:type="dxa" w:w="2266"/>
            <w:shd w:fill="F5F0E8" w:val="clear"/>
          </w:tcPr>
          <w:p>
            <w:pPr>
              <w:jc w:val="center"/>
            </w:pPr>
            <w:r>
              <w:rPr>
                <w:sz w:val="20"/>
              </w:rPr>
              <w:t>Low</w:t>
            </w:r>
          </w:p>
        </w:tc>
        <w:tc>
          <w:tcPr>
            <w:tcW w:type="dxa" w:w="2266"/>
            <w:shd w:fill="F5F0E8" w:val="clear"/>
          </w:tcPr>
          <w:p>
            <w:pPr>
              <w:jc w:val="center"/>
            </w:pPr>
            <w:r>
              <w:rPr>
                <w:sz w:val="20"/>
              </w:rPr>
              <w:t>0</w:t>
            </w:r>
          </w:p>
        </w:tc>
        <w:tc>
          <w:tcPr>
            <w:tcW w:type="dxa" w:w="2266"/>
            <w:shd w:fill="F5F0E8" w:val="clear"/>
          </w:tcPr>
          <w:p>
            <w:pPr>
              <w:jc w:val="center"/>
            </w:pPr>
            <w:r>
              <w:rPr>
                <w:sz w:val="20"/>
              </w:rPr>
              <w:t>0%</w:t>
            </w:r>
          </w:p>
        </w:tc>
        <w:tc>
          <w:tcPr>
            <w:tcW w:type="dxa" w:w="2266"/>
            <w:shd w:fill="F5F0E8" w:val="clear"/>
          </w:tcPr>
          <w:p>
            <w:pPr>
              <w:jc w:val="center"/>
            </w:pPr>
            <w:r>
              <w:rPr>
                <w:sz w:val="20"/>
              </w:rPr>
              <w:t>0.2</w:t>
            </w:r>
          </w:p>
        </w:tc>
      </w:tr>
      <w:tr>
        <w:tc>
          <w:tcPr>
            <w:tcW w:type="dxa" w:w="2266"/>
          </w:tcPr>
          <w:p>
            <w:pPr>
              <w:jc w:val="center"/>
            </w:pPr>
            <w:r>
              <w:rPr>
                <w:sz w:val="20"/>
              </w:rPr>
              <w:t>Unknown</w:t>
            </w:r>
          </w:p>
        </w:tc>
        <w:tc>
          <w:tcPr>
            <w:tcW w:type="dxa" w:w="2266"/>
          </w:tcPr>
          <w:p>
            <w:pPr>
              <w:jc w:val="center"/>
            </w:pPr>
            <w:r>
              <w:rPr>
                <w:sz w:val="20"/>
              </w:rPr>
              <w:t>0</w:t>
            </w:r>
          </w:p>
        </w:tc>
        <w:tc>
          <w:tcPr>
            <w:tcW w:type="dxa" w:w="2266"/>
          </w:tcPr>
          <w:p>
            <w:pPr>
              <w:jc w:val="center"/>
            </w:pPr>
            <w:r>
              <w:rPr>
                <w:sz w:val="20"/>
              </w:rPr>
              <w:t>0%</w:t>
            </w:r>
          </w:p>
        </w:tc>
        <w:tc>
          <w:tcPr>
            <w:tcW w:type="dxa" w:w="2266"/>
          </w:tcPr>
          <w:p>
            <w:pPr>
              <w:jc w:val="center"/>
            </w:pPr>
            <w:r>
              <w:rPr>
                <w:sz w:val="20"/>
              </w:rPr>
              <w:t>0.5</w:t>
            </w:r>
          </w:p>
        </w:tc>
      </w:tr>
    </w:tbl>
    <w:p/>
    <w:p>
      <w:pPr>
        <w:spacing w:before="320" w:after="120"/>
        <w:pBdr>
          <w:bottom w:val="single" w:sz="6" w:space="4" w:color="E8722A"/>
        </w:pBdr>
      </w:pPr>
      <w:r>
        <w:rPr>
          <w:b/>
          <w:color w:val="1A1D27"/>
          <w:sz w:val="28"/>
        </w:rPr>
        <w:t>CONCLUSION</w:t>
      </w:r>
    </w:p>
    <w:p>
      <w:pPr>
        <w:spacing w:after="160" w:before="40"/>
      </w:pPr>
      <w:r>
        <w:rPr>
          <w:sz w:val="22"/>
        </w:rPr>
        <w:t>In conclusion, the qualitative analysis of TEST002 Quick Test revealed that participants' responses were predominantly categorized under SUPPORT &amp; EDUCATION, highlighting the importance of guidance and resources in achieving desired outcomes. The codes related to SELF MANAGEMENT and BARRIERS also emerged as significant themes, accounting for 27% each, indicating the need for individuals to develop autonomous strategies while navigating obstacles. These findings suggest that a comprehensive approach, incorporating support, education, self-management, and barrier mitigation, is essential for optimal results. Overall, the study's 100% accuracy rate lends credibility to these conclusions, providing valuable insights for future interventions.</w:t>
      </w:r>
    </w:p>
    <w:p>
      <w:r>
        <w:br w:type="page"/>
      </w:r>
    </w:p>
    <w:p>
      <w:pPr>
        <w:spacing w:before="320" w:after="120"/>
        <w:pBdr>
          <w:bottom w:val="single" w:sz="6" w:space="4" w:color="E8722A"/>
        </w:pBdr>
      </w:pPr>
      <w:r>
        <w:rPr>
          <w:b/>
          <w:color w:val="1A1D27"/>
          <w:sz w:val="28"/>
        </w:rPr>
        <w:t>APPENDIX: HIERARCHY OF CODES</w:t>
      </w:r>
    </w:p>
    <w:p>
      <w:pPr>
        <w:spacing w:before="200"/>
      </w:pPr>
      <w:r>
        <w:rPr>
          <w:b/>
          <w:sz w:val="22"/>
        </w:rPr>
        <w:t>SELF MANAGEMENT</w:t>
      </w:r>
    </w:p>
    <w:p>
      <w:pPr>
        <w:ind w:left="432"/>
      </w:pPr>
      <w:r>
        <w:rPr>
          <w:b/>
        </w:rPr>
        <w:t>Medication Adherence</w:t>
      </w:r>
      <w:r>
        <w:rPr>
          <w:sz w:val="18"/>
        </w:rPr>
        <w:t xml:space="preserve">  (1 codes)</w:t>
      </w:r>
    </w:p>
    <w:p>
      <w:pPr>
        <w:spacing w:before="0" w:after="20"/>
        <w:ind w:left="1008"/>
      </w:pPr>
      <w:r>
        <w:rPr>
          <w:color w:val="555566"/>
          <w:sz w:val="18"/>
        </w:rPr>
        <w:t>• MedicationAdherence</w:t>
      </w:r>
    </w:p>
    <w:p>
      <w:pPr>
        <w:ind w:left="432"/>
      </w:pPr>
      <w:r>
        <w:rPr>
          <w:b/>
        </w:rPr>
        <w:t>Blood Sugar Monitoring</w:t>
      </w:r>
      <w:r>
        <w:rPr>
          <w:sz w:val="18"/>
        </w:rPr>
        <w:t xml:space="preserve">  (1 codes)</w:t>
      </w:r>
    </w:p>
    <w:p>
      <w:pPr>
        <w:spacing w:before="0" w:after="20"/>
        <w:ind w:left="1008"/>
      </w:pPr>
      <w:r>
        <w:rPr>
          <w:color w:val="555566"/>
          <w:sz w:val="18"/>
        </w:rPr>
        <w:t>• BloodSugarMonitoring</w:t>
      </w:r>
    </w:p>
    <w:p>
      <w:pPr>
        <w:ind w:left="432"/>
      </w:pPr>
      <w:r>
        <w:rPr>
          <w:b/>
        </w:rPr>
        <w:t>Diet &amp; Lifestyle</w:t>
      </w:r>
      <w:r>
        <w:rPr>
          <w:sz w:val="18"/>
        </w:rPr>
        <w:t xml:space="preserve">  (1 codes)</w:t>
      </w:r>
    </w:p>
    <w:p>
      <w:pPr>
        <w:spacing w:before="0" w:after="20"/>
        <w:ind w:left="1008"/>
      </w:pPr>
      <w:r>
        <w:rPr>
          <w:color w:val="555566"/>
          <w:sz w:val="18"/>
        </w:rPr>
        <w:t>• DietAndLifestyle</w:t>
      </w:r>
    </w:p>
    <w:p>
      <w:pPr>
        <w:spacing w:before="200"/>
      </w:pPr>
      <w:r>
        <w:rPr>
          <w:b/>
          <w:sz w:val="22"/>
        </w:rPr>
        <w:t>BARRIERS</w:t>
      </w:r>
    </w:p>
    <w:p>
      <w:pPr>
        <w:ind w:left="432"/>
      </w:pPr>
      <w:r>
        <w:rPr>
          <w:b/>
        </w:rPr>
        <w:t>Long Wait Times</w:t>
      </w:r>
      <w:r>
        <w:rPr>
          <w:sz w:val="18"/>
        </w:rPr>
        <w:t xml:space="preserve">  (1 codes)</w:t>
      </w:r>
    </w:p>
    <w:p>
      <w:pPr>
        <w:spacing w:before="0" w:after="20"/>
        <w:ind w:left="1008"/>
      </w:pPr>
      <w:r>
        <w:rPr>
          <w:color w:val="555566"/>
          <w:sz w:val="18"/>
        </w:rPr>
        <w:t>• LongWaitTimes</w:t>
      </w:r>
    </w:p>
    <w:p>
      <w:pPr>
        <w:ind w:left="432"/>
      </w:pPr>
      <w:r>
        <w:rPr>
          <w:b/>
        </w:rPr>
        <w:t>Financial Cost</w:t>
      </w:r>
      <w:r>
        <w:rPr>
          <w:sz w:val="18"/>
        </w:rPr>
        <w:t xml:space="preserve">  (1 codes)</w:t>
      </w:r>
    </w:p>
    <w:p>
      <w:pPr>
        <w:spacing w:before="0" w:after="20"/>
        <w:ind w:left="1008"/>
      </w:pPr>
      <w:r>
        <w:rPr>
          <w:color w:val="555566"/>
          <w:sz w:val="18"/>
        </w:rPr>
        <w:t>• FinancialCost</w:t>
      </w:r>
    </w:p>
    <w:p>
      <w:pPr>
        <w:ind w:left="432"/>
      </w:pPr>
      <w:r>
        <w:rPr>
          <w:b/>
        </w:rPr>
        <w:t>Fear &amp; Anxiety</w:t>
      </w:r>
      <w:r>
        <w:rPr>
          <w:sz w:val="18"/>
        </w:rPr>
        <w:t xml:space="preserve">  (1 codes)</w:t>
      </w:r>
    </w:p>
    <w:p>
      <w:pPr>
        <w:spacing w:before="0" w:after="20"/>
        <w:ind w:left="1008"/>
      </w:pPr>
      <w:r>
        <w:rPr>
          <w:color w:val="555566"/>
          <w:sz w:val="18"/>
        </w:rPr>
        <w:t>• FearAndAnxiety</w:t>
      </w:r>
    </w:p>
    <w:p>
      <w:pPr>
        <w:spacing w:before="200"/>
      </w:pPr>
      <w:r>
        <w:rPr>
          <w:b/>
          <w:sz w:val="22"/>
        </w:rPr>
        <w:t>SUPPORT &amp; EDUCATION</w:t>
      </w:r>
    </w:p>
    <w:p>
      <w:pPr>
        <w:ind w:left="432"/>
      </w:pPr>
      <w:r>
        <w:rPr>
          <w:b/>
        </w:rPr>
        <w:t>Doctor Support</w:t>
      </w:r>
      <w:r>
        <w:rPr>
          <w:sz w:val="18"/>
        </w:rPr>
        <w:t xml:space="preserve">  (2 codes)</w:t>
      </w:r>
    </w:p>
    <w:p>
      <w:pPr>
        <w:spacing w:before="0" w:after="20"/>
        <w:ind w:left="1008"/>
      </w:pPr>
      <w:r>
        <w:rPr>
          <w:color w:val="555566"/>
          <w:sz w:val="18"/>
        </w:rPr>
        <w:t>• DoctorSupport</w:t>
      </w:r>
    </w:p>
    <w:p>
      <w:pPr>
        <w:ind w:left="432"/>
      </w:pPr>
      <w:r>
        <w:rPr>
          <w:b/>
        </w:rPr>
        <w:t>Diabetes Education</w:t>
      </w:r>
      <w:r>
        <w:rPr>
          <w:sz w:val="18"/>
        </w:rPr>
        <w:t xml:space="preserve">  (2 codes)</w:t>
      </w:r>
    </w:p>
    <w:p>
      <w:pPr>
        <w:spacing w:before="0" w:after="20"/>
        <w:ind w:left="1008"/>
      </w:pPr>
      <w:r>
        <w:rPr>
          <w:color w:val="555566"/>
          <w:sz w:val="18"/>
        </w:rPr>
        <w:t>• DiabetesEducation</w:t>
      </w:r>
    </w:p>
    <w:p>
      <w:pPr>
        <w:ind w:left="432"/>
      </w:pPr>
      <w:r>
        <w:rPr>
          <w:b/>
        </w:rPr>
        <w:t>Family Support</w:t>
      </w:r>
      <w:r>
        <w:rPr>
          <w:sz w:val="18"/>
        </w:rPr>
        <w:t xml:space="preserve">  (1 codes)</w:t>
      </w:r>
    </w:p>
    <w:p>
      <w:pPr>
        <w:spacing w:before="0" w:after="20"/>
        <w:ind w:left="1008"/>
      </w:pPr>
      <w:r>
        <w:rPr>
          <w:color w:val="555566"/>
          <w:sz w:val="18"/>
        </w:rPr>
        <w:t>• FamilySupport</w:t>
      </w:r>
    </w:p>
    <w:p/>
    <w:p>
      <w:pPr>
        <w:spacing w:before="400"/>
        <w:jc w:val="center"/>
      </w:pPr>
      <w:r>
        <w:rPr>
          <w:color w:val="AAAABB"/>
          <w:sz w:val="16"/>
        </w:rPr>
        <w:t>Generated by TranscriptIQ  |  20 April 2026  |  Confidential</w:t>
      </w:r>
    </w:p>
    <w:sectPr w:rsidR="00FC693F" w:rsidRPr="0006063C" w:rsidSect="00034616">
      <w:pgSz w:w="12240" w:h="15840"/>
      <w:pgMar w:top="1417" w:right="158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